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Textkrper"/>
        <w:spacing w:before="0" w:after="0"/>
        <w:ind w:left="0" w:right="0" w:hanging="0"/>
        <w:rPr>
          <w:rFonts w:ascii="Nimbus Sans L" w:hAnsi="Nimbus Sans L"/>
        </w:rPr>
      </w:pPr>
      <w:r>
        <w:rPr>
          <w:rFonts w:ascii="Nimbus Sans L" w:hAnsi="Nimbus Sans L"/>
        </w:rPr>
        <w:t xml:space="preserve">Elke Schenk </w:t>
      </w:r>
    </w:p>
    <w:p>
      <w:pPr>
        <w:pStyle w:val="Textkrper"/>
        <w:spacing w:before="0" w:after="0"/>
        <w:ind w:left="0" w:right="0" w:hanging="0"/>
        <w:rPr>
          <w:rFonts w:ascii="Nimbus Sans L" w:hAnsi="Nimbus Sans L"/>
        </w:rPr>
      </w:pPr>
      <w:r>
        <w:rPr>
          <w:rFonts w:ascii="Nimbus Sans L" w:hAnsi="Nimbus Sans L"/>
        </w:rPr>
        <w:t>globalcrisis/globalchange NEWS 19.10.2016</w:t>
      </w:r>
    </w:p>
    <w:p>
      <w:pPr>
        <w:pStyle w:val="Textkrper"/>
        <w:spacing w:before="0" w:after="0"/>
        <w:ind w:left="0" w:right="0" w:hanging="0"/>
        <w:rPr>
          <w:rFonts w:ascii="Nimbus Sans L" w:hAnsi="Nimbus Sans L"/>
        </w:rPr>
      </w:pPr>
      <w:r>
        <w:rPr>
          <w:rFonts w:ascii="Nimbus Sans L" w:hAnsi="Nimbus Sans L"/>
        </w:rPr>
      </w:r>
    </w:p>
    <w:p>
      <w:pPr>
        <w:pStyle w:val="Textkrper"/>
        <w:spacing w:before="0" w:after="0"/>
        <w:ind w:left="0" w:right="0" w:hanging="0"/>
        <w:rPr>
          <w:rFonts w:ascii="Nimbus Sans L" w:hAnsi="Nimbus Sans L"/>
          <w:sz w:val="24"/>
          <w:szCs w:val="24"/>
        </w:rPr>
      </w:pPr>
      <w:r>
        <w:rPr>
          <w:rFonts w:ascii="Nimbus Sans L" w:hAnsi="Nimbus Sans L"/>
          <w:sz w:val="24"/>
          <w:szCs w:val="24"/>
        </w:rPr>
        <w:t>Guten Tag,</w:t>
      </w:r>
    </w:p>
    <w:p>
      <w:pPr>
        <w:pStyle w:val="Textkrper"/>
        <w:spacing w:before="0" w:after="0"/>
        <w:ind w:left="0" w:right="0" w:hanging="0"/>
        <w:rPr>
          <w:rFonts w:ascii="Nimbus Sans L" w:hAnsi="Nimbus Sans L"/>
          <w:sz w:val="24"/>
          <w:szCs w:val="24"/>
        </w:rPr>
      </w:pPr>
      <w:r>
        <w:rPr>
          <w:rFonts w:ascii="Nimbus Sans L" w:hAnsi="Nimbus Sans L"/>
          <w:sz w:val="24"/>
          <w:szCs w:val="24"/>
        </w:rPr>
        <w:t>während die Aufmerksamkeit der NGOs und Medien sich auf die bevorstehende Unterzeichnung des CETA-Vertrags richtet, die derzeit noch von der Blockade des wallonischen Regionalparlaments aufgehalten wird, gilt das TTIP als tot. Dabei wird vergessen, dass die Verhandlungen nach wie vor weitergeführt werden. Darüber hinaus werden mit der Ratifizierung und vorläufigen Anwendung des CETA US-Konzerne über ihre Niederlassungen in Kanada die Marktöffnung Richtung EU nutzen können, ohne dass dies umgekehrt auch erfolgt.</w:t>
      </w:r>
      <w:r>
        <w:rPr>
          <w:rFonts w:ascii="Nimbus Sans L" w:hAnsi="Nimbus Sans L"/>
          <w:sz w:val="24"/>
          <w:szCs w:val="24"/>
        </w:rPr>
        <w:t xml:space="preserve"> TTIP ist nicht tot, sondern wird über den CETA-Weg aktiviert.</w:t>
      </w:r>
    </w:p>
    <w:p>
      <w:pPr>
        <w:pStyle w:val="Textkrper"/>
        <w:spacing w:before="0" w:after="0"/>
        <w:ind w:left="0" w:right="0" w:hanging="0"/>
        <w:rPr>
          <w:rFonts w:ascii="Nimbus Sans L" w:hAnsi="Nimbus Sans L"/>
          <w:sz w:val="24"/>
          <w:szCs w:val="24"/>
        </w:rPr>
      </w:pPr>
      <w:r>
        <w:rPr>
          <w:rFonts w:ascii="Nimbus Sans L" w:hAnsi="Nimbus Sans L"/>
          <w:sz w:val="24"/>
          <w:szCs w:val="24"/>
        </w:rPr>
        <w:t xml:space="preserve"> </w:t>
      </w:r>
    </w:p>
    <w:p>
      <w:pPr>
        <w:pStyle w:val="Textkrper"/>
        <w:spacing w:before="0" w:after="0"/>
        <w:ind w:left="0" w:right="0" w:hanging="0"/>
        <w:rPr>
          <w:rFonts w:ascii="Nimbus Sans L" w:hAnsi="Nimbus Sans L"/>
          <w:sz w:val="24"/>
          <w:szCs w:val="24"/>
        </w:rPr>
      </w:pPr>
      <w:r>
        <w:rPr>
          <w:rFonts w:ascii="Nimbus Sans L" w:hAnsi="Nimbus Sans L"/>
          <w:sz w:val="24"/>
          <w:szCs w:val="24"/>
        </w:rPr>
        <w:t xml:space="preserve">Parallel werden die unter dem Wahrnehmungsradar der breiten Öffentlichkeit schon weit gediehenden TISA-Verhandlungen geheim geführt und das Abkommen voraussichtlich </w:t>
      </w:r>
      <w:r>
        <w:rPr>
          <w:rFonts w:ascii="Nimbus Sans L" w:hAnsi="Nimbus Sans L"/>
          <w:b/>
          <w:bCs/>
          <w:sz w:val="24"/>
          <w:szCs w:val="24"/>
        </w:rPr>
        <w:t xml:space="preserve">Ende des Jahres </w:t>
      </w:r>
      <w:r>
        <w:rPr>
          <w:rFonts w:ascii="Nimbus Sans L" w:hAnsi="Nimbus Sans L"/>
          <w:b/>
          <w:bCs/>
          <w:sz w:val="24"/>
          <w:szCs w:val="24"/>
        </w:rPr>
        <w:t>2016</w:t>
      </w:r>
      <w:r>
        <w:rPr>
          <w:rFonts w:ascii="Nimbus Sans L" w:hAnsi="Nimbus Sans L"/>
          <w:sz w:val="24"/>
          <w:szCs w:val="24"/>
        </w:rPr>
        <w:t xml:space="preserve"> (!) </w:t>
      </w:r>
      <w:r>
        <w:rPr>
          <w:rFonts w:ascii="Nimbus Sans L" w:hAnsi="Nimbus Sans L"/>
          <w:sz w:val="24"/>
          <w:szCs w:val="24"/>
        </w:rPr>
        <w:t xml:space="preserve">beschlossen. </w:t>
      </w:r>
      <w:r>
        <w:rPr>
          <w:rFonts w:ascii="Nimbus Sans L" w:hAnsi="Nimbus Sans L"/>
          <w:sz w:val="24"/>
          <w:szCs w:val="24"/>
        </w:rPr>
        <w:t xml:space="preserve">An den Verhandlungen beteiligt sind ca 25 Parteien, bspw. USA, EU, Kanada, Schweiz, Australien, Pakistan, Chile, Kolumbien, Costa Rica. </w:t>
      </w:r>
      <w:r>
        <w:rPr>
          <w:rFonts w:ascii="Nimbus Sans L" w:hAnsi="Nimbus Sans L"/>
          <w:b/>
          <w:bCs/>
          <w:sz w:val="24"/>
          <w:szCs w:val="24"/>
        </w:rPr>
        <w:t>T</w:t>
      </w:r>
      <w:r>
        <w:rPr>
          <w:rFonts w:ascii="Nimbus Sans L" w:hAnsi="Nimbus Sans L"/>
          <w:b/>
          <w:bCs/>
          <w:sz w:val="24"/>
          <w:szCs w:val="24"/>
        </w:rPr>
        <w:t>ISA (Trade in Services Agreement)</w:t>
      </w:r>
      <w:r>
        <w:rPr>
          <w:rFonts w:ascii="Nimbus Sans L" w:hAnsi="Nimbus Sans L"/>
          <w:sz w:val="24"/>
          <w:szCs w:val="24"/>
        </w:rPr>
        <w:t xml:space="preserve"> betrifft die Dienstleistungen von der Handelsschiff</w:t>
      </w:r>
      <w:r>
        <w:rPr>
          <w:rFonts w:ascii="Nimbus Sans L" w:hAnsi="Nimbus Sans L"/>
          <w:sz w:val="24"/>
          <w:szCs w:val="24"/>
        </w:rPr>
        <w:t>f</w:t>
      </w:r>
      <w:r>
        <w:rPr>
          <w:rFonts w:ascii="Nimbus Sans L" w:hAnsi="Nimbus Sans L"/>
          <w:sz w:val="24"/>
          <w:szCs w:val="24"/>
        </w:rPr>
        <w:t xml:space="preserve">ahrt, Verkehr, Finanzdienstleistungen , Energieversorgung, Gesundheit, Datentransfer </w:t>
      </w:r>
      <w:r>
        <w:rPr>
          <w:rFonts w:ascii="Nimbus Sans L" w:hAnsi="Nimbus Sans L"/>
          <w:sz w:val="24"/>
          <w:szCs w:val="24"/>
        </w:rPr>
        <w:t>(unbeschränkte Speicherung und Weitergabe)</w:t>
      </w:r>
      <w:r>
        <w:rPr>
          <w:rFonts w:ascii="Nimbus Sans L" w:hAnsi="Nimbus Sans L"/>
          <w:sz w:val="24"/>
          <w:szCs w:val="24"/>
        </w:rPr>
        <w:t xml:space="preserve">, Bildung, ... private und öffentliche Dienstleistungen. Hier liegt der eigentliche "Wachstumsmarkt" in der über das WTO-GATS-Abkommen hinaus gehenden Liberalisierung und Deregulierung sowie der Privatisierung öffentlicher Dienstleistungen. </w:t>
      </w:r>
      <w:r>
        <w:rPr>
          <w:rFonts w:ascii="Nimbus Sans L" w:hAnsi="Nimbus Sans L"/>
          <w:sz w:val="24"/>
          <w:szCs w:val="24"/>
        </w:rPr>
        <w:t xml:space="preserve">Sowohl die Re-Regulierung der Finanzmärkte als auch Datenschutzauflagen, die Bevorzugung regenerativer Energiequellen, die Förderung der regionalen Wirtschaft wären damit verbotene Handelshemmnisse. </w:t>
      </w:r>
    </w:p>
    <w:p>
      <w:pPr>
        <w:pStyle w:val="Textkrper"/>
        <w:spacing w:before="0" w:after="0"/>
        <w:ind w:left="0" w:right="0" w:hanging="0"/>
        <w:rPr>
          <w:rFonts w:ascii="Nimbus Sans L" w:hAnsi="Nimbus Sans L"/>
          <w:b/>
          <w:bCs/>
          <w:i/>
          <w:iCs/>
          <w:sz w:val="24"/>
          <w:szCs w:val="24"/>
        </w:rPr>
      </w:pPr>
      <w:r>
        <w:rPr>
          <w:rFonts w:ascii="Nimbus Sans L" w:hAnsi="Nimbus Sans L"/>
          <w:b/>
          <w:bCs/>
          <w:i/>
          <w:iCs/>
          <w:sz w:val="24"/>
          <w:szCs w:val="24"/>
        </w:rPr>
        <w:t>An TISA beteiligt sind sowohl die CETA- als auch die TTIP-Vertragsparteien.</w:t>
      </w:r>
      <w:r>
        <w:rPr>
          <w:rFonts w:ascii="Nimbus Sans L" w:hAnsi="Nimbus Sans L"/>
          <w:sz w:val="24"/>
          <w:szCs w:val="24"/>
        </w:rPr>
        <w:t xml:space="preserve"> </w:t>
      </w:r>
      <w:r>
        <w:rPr>
          <w:rFonts w:ascii="Nimbus Sans L" w:hAnsi="Nimbus Sans L"/>
          <w:b/>
          <w:bCs/>
          <w:i/>
          <w:iCs/>
          <w:sz w:val="24"/>
          <w:szCs w:val="24"/>
        </w:rPr>
        <w:t>Alle Zusicherungen bzgl. des Schutzes von öffentlichen Dienstleistungen, Arbeits- und Umweltschutzstandards, die aktuell vor der CETA-Ratifizierung zur Beruhigung der Abgeordneten und Öffentlichkeit in mehr oder weniger rechtsverbindlichen Erklärungen gemacht werden, sind angesichts des TISA-Abkommens obsolet und erweisen sich als heuchlerisch.</w:t>
      </w:r>
    </w:p>
    <w:p>
      <w:pPr>
        <w:pStyle w:val="Textkrper"/>
        <w:spacing w:lineRule="auto" w:line="288" w:before="0" w:after="0"/>
        <w:ind w:left="0" w:right="0" w:hanging="0"/>
        <w:rPr>
          <w:rFonts w:ascii="Nimbus Sans L" w:hAnsi="Nimbus Sans L"/>
          <w:sz w:val="24"/>
          <w:szCs w:val="24"/>
        </w:rPr>
      </w:pPr>
      <w:r>
        <w:rPr>
          <w:rFonts w:ascii="Nimbus Sans L" w:hAnsi="Nimbus Sans L"/>
          <w:sz w:val="24"/>
          <w:szCs w:val="24"/>
        </w:rPr>
        <w:t>Wikileaks hatte den Kerntext des Vertrages veröffentlicht. Die Analyse von Jane Kelsey, Jura-Professorin an der Auckland-University, nennt folgende Gefahren:</w:t>
      </w:r>
    </w:p>
    <w:p>
      <w:pPr>
        <w:pStyle w:val="Textkrper"/>
        <w:spacing w:lineRule="auto" w:line="288" w:before="0" w:after="0"/>
        <w:ind w:left="0" w:right="0" w:hanging="0"/>
        <w:rPr>
          <w:rFonts w:ascii="Nimbus Sans L" w:hAnsi="Nimbus Sans L"/>
          <w:sz w:val="24"/>
          <w:szCs w:val="24"/>
        </w:rPr>
      </w:pPr>
      <w:r>
        <w:rPr>
          <w:rFonts w:ascii="Nimbus Sans L" w:hAnsi="Nimbus Sans L"/>
          <w:sz w:val="24"/>
          <w:szCs w:val="24"/>
        </w:rPr>
        <w:t xml:space="preserve">Auszug aus: </w:t>
      </w:r>
      <w:hyperlink r:id="rId2">
        <w:r>
          <w:rPr>
            <w:rStyle w:val="Internetlink"/>
            <w:rFonts w:ascii="Nimbus Sans L" w:hAnsi="Nimbus Sans L"/>
            <w:color w:val="0000FF"/>
            <w:sz w:val="24"/>
            <w:szCs w:val="24"/>
            <w:u w:val="single"/>
          </w:rPr>
          <w:t>https://deutsch.rt.com/24696/wirtschaft/analyse-des-von-wikileaks-veroeffentlichten-kerntext-des-tisa-abkommens/</w:t>
        </w:r>
      </w:hyperlink>
      <w:r>
        <w:rPr>
          <w:rFonts w:ascii="Nimbus Sans L" w:hAnsi="Nimbus Sans L"/>
          <w:sz w:val="24"/>
          <w:szCs w:val="24"/>
        </w:rPr>
        <w:t xml:space="preserve"> vom 2.7.2015</w:t>
      </w:r>
    </w:p>
    <w:p>
      <w:pPr>
        <w:pStyle w:val="Textkrper"/>
        <w:spacing w:lineRule="auto" w:line="288" w:before="0" w:after="0"/>
        <w:ind w:left="0" w:right="0" w:hanging="0"/>
        <w:rPr>
          <w:rFonts w:ascii="Nimbus Sans L" w:hAnsi="Nimbus Sans L"/>
          <w:sz w:val="24"/>
          <w:szCs w:val="24"/>
        </w:rPr>
      </w:pPr>
      <w:r>
        <w:rPr>
          <w:rFonts w:ascii="Nimbus Sans L" w:hAnsi="Nimbus Sans L"/>
          <w:sz w:val="24"/>
          <w:szCs w:val="24"/>
        </w:rPr>
        <w:t>Der Vertrag habe "das ausdrückliche Ziel ... Regierungen bezüglich ihrer Regulierungsmöglichkeiten bei bisherigen staatlichen Aufgaben, wie etwa die Gesundheitsfürsorge oder Bildung, zu begrenzen. Die Idee ist alle Dienstleistungen im globalen Maßstab zu privatisieren. ...</w:t>
      </w:r>
    </w:p>
    <w:p>
      <w:pPr>
        <w:pStyle w:val="Textkrper"/>
        <w:spacing w:lineRule="auto" w:line="288" w:before="0" w:after="0"/>
        <w:ind w:left="0" w:right="0" w:hanging="0"/>
        <w:rPr>
          <w:rFonts w:ascii="Nimbus Sans L" w:hAnsi="Nimbus Sans L"/>
          <w:sz w:val="24"/>
          <w:szCs w:val="24"/>
        </w:rPr>
      </w:pPr>
      <w:r>
        <w:rPr>
          <w:rFonts w:ascii="Nimbus Sans L" w:hAnsi="Nimbus Sans L"/>
          <w:b/>
          <w:sz w:val="24"/>
          <w:szCs w:val="24"/>
        </w:rPr>
        <w:t xml:space="preserve">Transnationale Konzerne vs. Lokale Unternehmen </w:t>
      </w:r>
      <w:r>
        <w:rPr>
          <w:rFonts w:ascii="Nimbus Sans L" w:hAnsi="Nimbus Sans L"/>
          <w:sz w:val="24"/>
          <w:szCs w:val="24"/>
        </w:rPr>
        <w:t>Der Vertrag gibt transnationalen Konzernen gezielt mehr Rechte, während die lokale und regionale Wirtschaft geschwächt wird. ...</w:t>
      </w:r>
    </w:p>
    <w:p>
      <w:pPr>
        <w:pStyle w:val="Textkrper"/>
        <w:spacing w:lineRule="auto" w:line="288" w:before="0" w:after="0"/>
        <w:ind w:left="0" w:right="0" w:hanging="0"/>
        <w:rPr>
          <w:rFonts w:ascii="Nimbus Sans L" w:hAnsi="Nimbus Sans L"/>
          <w:b/>
          <w:sz w:val="24"/>
          <w:szCs w:val="24"/>
        </w:rPr>
      </w:pPr>
      <w:r>
        <w:rPr>
          <w:rFonts w:ascii="Nimbus Sans L" w:hAnsi="Nimbus Sans L"/>
          <w:b/>
          <w:sz w:val="24"/>
          <w:szCs w:val="24"/>
        </w:rPr>
        <w:t>Weniger Regierungskontrolle kann zu sinkender Stabilität anstatt zu mehr Freiheit führen</w:t>
      </w:r>
    </w:p>
    <w:p>
      <w:pPr>
        <w:pStyle w:val="Textkrper"/>
        <w:spacing w:lineRule="auto" w:line="288" w:before="0" w:after="0"/>
        <w:ind w:left="0" w:right="0" w:hanging="0"/>
        <w:rPr>
          <w:rFonts w:ascii="Nimbus Sans L" w:hAnsi="Nimbus Sans L"/>
          <w:sz w:val="24"/>
          <w:szCs w:val="24"/>
        </w:rPr>
      </w:pPr>
      <w:r>
        <w:rPr>
          <w:rFonts w:ascii="Nimbus Sans L" w:hAnsi="Nimbus Sans L"/>
          <w:sz w:val="24"/>
          <w:szCs w:val="24"/>
        </w:rPr>
        <w:t>... Ebenso wären alle Ebenen des Staates, insbesondere bei der Auftragsvergabe von den Abkommen betroffen. Dies gilt auch für lokale und regionale Verwaltungen. Menschen werden hingegen immer mehr zu "Kunden" statt zu Bürgern. Wer am Ende die Dienstleistungen anbietet, hat künftig oft keine Verbindung mehr zu den Gemeinschaften und Kommunen in denen diese in Anspruch genommen werden. ...</w:t>
      </w:r>
    </w:p>
    <w:p>
      <w:pPr>
        <w:pStyle w:val="Textkrper"/>
        <w:spacing w:lineRule="auto" w:line="288" w:before="0" w:after="0"/>
        <w:ind w:left="0" w:right="0" w:hanging="0"/>
        <w:rPr>
          <w:rFonts w:ascii="Nimbus Sans L" w:hAnsi="Nimbus Sans L"/>
          <w:b/>
          <w:sz w:val="24"/>
          <w:szCs w:val="24"/>
        </w:rPr>
      </w:pPr>
      <w:r>
        <w:rPr>
          <w:rFonts w:ascii="Nimbus Sans L" w:hAnsi="Nimbus Sans L"/>
          <w:b/>
          <w:sz w:val="24"/>
          <w:szCs w:val="24"/>
        </w:rPr>
        <w:t>Das Ende der Verantwortlichkeit</w:t>
      </w:r>
    </w:p>
    <w:p>
      <w:pPr>
        <w:pStyle w:val="Textkrper"/>
        <w:spacing w:lineRule="auto" w:line="288" w:before="0" w:after="0"/>
        <w:ind w:left="0" w:right="0" w:hanging="0"/>
        <w:rPr>
          <w:rFonts w:ascii="Nimbus Sans L" w:hAnsi="Nimbus Sans L"/>
          <w:sz w:val="24"/>
          <w:szCs w:val="24"/>
        </w:rPr>
      </w:pPr>
      <w:r>
        <w:rPr>
          <w:rFonts w:ascii="Nimbus Sans L" w:hAnsi="Nimbus Sans L"/>
          <w:sz w:val="24"/>
          <w:szCs w:val="24"/>
        </w:rPr>
        <w:t>Ein derart hoher Grad an "Liberalisierung", wie durch TiSA, TTIP und TPP geplant, verändert die Beziehung zwischen Unternehmen und ihren Kunden nachhaltig. Dienstleistungsanbieter und Produzenten aus anderen Ländern, wären von jedweder sozialen Verantwortung in den Staaten befreit, in denen sie operieren. Stattdessen wird einer schrankenlosen Profitmaximierung Tür und Tor geöffnet. Jane Kelsey betont:</w:t>
      </w:r>
    </w:p>
    <w:p>
      <w:pPr>
        <w:pStyle w:val="Textkrper"/>
        <w:spacing w:lineRule="auto" w:line="288" w:before="0" w:after="0"/>
        <w:ind w:left="600" w:right="600" w:hanging="0"/>
        <w:rPr>
          <w:rFonts w:ascii="Nimbus Sans L" w:hAnsi="Nimbus Sans L"/>
          <w:sz w:val="24"/>
          <w:szCs w:val="24"/>
        </w:rPr>
      </w:pPr>
      <w:r>
        <w:rPr>
          <w:rFonts w:ascii="Nimbus Sans L" w:hAnsi="Nimbus Sans L"/>
          <w:sz w:val="24"/>
          <w:szCs w:val="24"/>
        </w:rPr>
        <w:t>"Dienstleistungen werden in dem Abkommen lediglich als marktfähige Waren angesehen. Jede weitere Ebene, vor allem die soziale, kulturelle und ökologische Komponente wird ausgeklammert. Ebenso die Rolle des Wirtschaftens für Beschäftigung und Entwicklung."</w:t>
      </w:r>
    </w:p>
    <w:p>
      <w:pPr>
        <w:pStyle w:val="Textkrper"/>
        <w:spacing w:lineRule="auto" w:line="288" w:before="0" w:after="0"/>
        <w:ind w:left="0" w:right="0" w:hanging="0"/>
        <w:rPr>
          <w:rFonts w:ascii="Nimbus Sans L" w:hAnsi="Nimbus Sans L"/>
          <w:b/>
          <w:sz w:val="24"/>
          <w:szCs w:val="24"/>
        </w:rPr>
      </w:pPr>
      <w:r>
        <w:rPr>
          <w:rFonts w:ascii="Nimbus Sans L" w:hAnsi="Nimbus Sans L"/>
          <w:b/>
          <w:sz w:val="24"/>
          <w:szCs w:val="24"/>
        </w:rPr>
        <w:t>Unkontrollierbare globale Kapitalströme</w:t>
      </w:r>
    </w:p>
    <w:p>
      <w:pPr>
        <w:pStyle w:val="Textkrper"/>
        <w:spacing w:lineRule="auto" w:line="288" w:before="0" w:after="0"/>
        <w:ind w:left="0" w:right="0" w:hanging="0"/>
        <w:rPr>
          <w:rFonts w:ascii="Nimbus Sans L" w:hAnsi="Nimbus Sans L"/>
          <w:sz w:val="24"/>
          <w:szCs w:val="24"/>
          <w:shd w:fill="auto" w:val="clear"/>
        </w:rPr>
      </w:pPr>
      <w:r>
        <w:rPr>
          <w:rFonts w:ascii="Nimbus Sans L" w:hAnsi="Nimbus Sans L"/>
          <w:sz w:val="24"/>
          <w:szCs w:val="24"/>
          <w:shd w:fill="auto" w:val="clear"/>
        </w:rPr>
        <w:t>Ein weiteres grundsätzliches Element des Abkommens ist die Beschränkung staatlicher Kontrolle bezüglich transnationaler Kapitalströme und allem was damit zu tun hat. Auch hier ist eine zunehmende wirtschaftliche und finanzielle Instabilität ganzer Regionen die zu erwartende Folge.</w:t>
      </w:r>
    </w:p>
    <w:p>
      <w:pPr>
        <w:pStyle w:val="Textkrper"/>
        <w:spacing w:lineRule="auto" w:line="288" w:before="0" w:after="0"/>
        <w:ind w:left="0" w:right="0" w:hanging="0"/>
        <w:rPr>
          <w:rFonts w:ascii="Nimbus Sans L" w:hAnsi="Nimbus Sans L"/>
          <w:shd w:fill="auto" w:val="clear"/>
        </w:rPr>
      </w:pPr>
      <w:r>
        <w:rPr>
          <w:rFonts w:ascii="Nimbus Sans L" w:hAnsi="Nimbus Sans L"/>
          <w:shd w:fill="auto" w:val="clear"/>
        </w:rPr>
      </w:r>
    </w:p>
    <w:p>
      <w:pPr>
        <w:pStyle w:val="Textkrper"/>
        <w:spacing w:lineRule="auto" w:line="288" w:before="0" w:after="0"/>
        <w:ind w:left="0" w:right="0" w:hanging="0"/>
        <w:rPr>
          <w:rFonts w:ascii="Nimbus Sans L" w:hAnsi="Nimbus Sans L"/>
          <w:sz w:val="24"/>
          <w:szCs w:val="24"/>
          <w:shd w:fill="auto" w:val="clear"/>
        </w:rPr>
      </w:pPr>
      <w:r>
        <w:rPr>
          <w:rFonts w:ascii="Nimbus Sans L" w:hAnsi="Nimbus Sans L"/>
          <w:sz w:val="24"/>
          <w:szCs w:val="24"/>
          <w:shd w:fill="auto" w:val="clear"/>
        </w:rPr>
        <w:t xml:space="preserve">- Auszug Ende - </w:t>
      </w:r>
    </w:p>
    <w:p>
      <w:pPr>
        <w:pStyle w:val="Textkrper"/>
        <w:spacing w:before="0" w:after="0"/>
        <w:ind w:left="0" w:right="0" w:hanging="0"/>
        <w:rPr>
          <w:rFonts w:ascii="Nimbus Sans L" w:hAnsi="Nimbus Sans L"/>
          <w:shd w:fill="auto" w:val="clear"/>
        </w:rPr>
      </w:pPr>
      <w:r>
        <w:rPr>
          <w:rFonts w:ascii="Nimbus Sans L" w:hAnsi="Nimbus Sans L"/>
          <w:shd w:fill="auto" w:val="clear"/>
        </w:rPr>
      </w:r>
    </w:p>
    <w:p>
      <w:pPr>
        <w:pStyle w:val="Textkrper"/>
        <w:spacing w:before="0" w:after="0"/>
        <w:ind w:left="0" w:right="0" w:hanging="0"/>
        <w:rPr>
          <w:rFonts w:ascii="Nimbus Sans L" w:hAnsi="Nimbus Sans L"/>
          <w:sz w:val="24"/>
          <w:szCs w:val="24"/>
          <w:shd w:fill="auto" w:val="clear"/>
        </w:rPr>
      </w:pPr>
      <w:r>
        <w:rPr>
          <w:rFonts w:ascii="Nimbus Sans L" w:hAnsi="Nimbus Sans L"/>
          <w:sz w:val="24"/>
          <w:szCs w:val="24"/>
          <w:shd w:fill="auto" w:val="clear"/>
        </w:rPr>
        <w:t xml:space="preserve">Das </w:t>
      </w:r>
      <w:r>
        <w:rPr>
          <w:rFonts w:ascii="Nimbus Sans L" w:hAnsi="Nimbus Sans L"/>
          <w:b/>
          <w:bCs/>
          <w:sz w:val="24"/>
          <w:szCs w:val="24"/>
          <w:shd w:fill="auto" w:val="clear"/>
        </w:rPr>
        <w:t>doppelte Spiel der EU-Vertreter</w:t>
      </w:r>
      <w:r>
        <w:rPr>
          <w:rFonts w:ascii="Nimbus Sans L" w:hAnsi="Nimbus Sans L"/>
          <w:sz w:val="24"/>
          <w:szCs w:val="24"/>
          <w:shd w:fill="auto" w:val="clear"/>
        </w:rPr>
        <w:t xml:space="preserve"> – </w:t>
      </w:r>
      <w:r>
        <w:rPr>
          <w:rFonts w:ascii="Nimbus Sans L" w:hAnsi="Nimbus Sans L"/>
          <w:sz w:val="24"/>
          <w:szCs w:val="24"/>
          <w:shd w:fill="auto" w:val="clear"/>
        </w:rPr>
        <w:t xml:space="preserve">sich in der eigenen Öffentlichkeit als Hüterin von öffentlicher Daseinsvorsorge und hohen Sozial-, Umwelt- und Arbeitsschutzstandards zu präsentieren und bei den geheimen TISA-Verhandlungen eine aggressive Liberalisierungsagenda zu fahren - </w:t>
      </w:r>
      <w:r>
        <w:rPr>
          <w:rFonts w:ascii="Nimbus Sans L" w:hAnsi="Nimbus Sans L"/>
          <w:sz w:val="24"/>
          <w:szCs w:val="24"/>
          <w:shd w:fill="auto" w:val="clear"/>
        </w:rPr>
        <w:t xml:space="preserve">zeigen neue </w:t>
      </w:r>
      <w:r>
        <w:rPr>
          <w:rFonts w:ascii="Nimbus Sans L" w:hAnsi="Nimbus Sans L"/>
          <w:sz w:val="24"/>
          <w:szCs w:val="24"/>
          <w:shd w:fill="auto" w:val="clear"/>
        </w:rPr>
        <w:t>Veröffentlichungen von Wikileaks</w:t>
      </w:r>
      <w:r>
        <w:rPr>
          <w:rFonts w:ascii="Nimbus Sans L" w:hAnsi="Nimbus Sans L"/>
          <w:sz w:val="24"/>
          <w:szCs w:val="24"/>
          <w:shd w:fill="auto" w:val="clear"/>
        </w:rPr>
        <w:t xml:space="preserve"> bzgl. der </w:t>
      </w:r>
      <w:r>
        <w:rPr>
          <w:rFonts w:ascii="Nimbus Sans L" w:hAnsi="Nimbus Sans L"/>
          <w:sz w:val="24"/>
          <w:szCs w:val="24"/>
          <w:shd w:fill="auto" w:val="clear"/>
        </w:rPr>
        <w:t>bilateralen</w:t>
      </w:r>
      <w:r>
        <w:rPr>
          <w:rFonts w:ascii="Nimbus Sans L" w:hAnsi="Nimbus Sans L"/>
          <w:sz w:val="24"/>
          <w:szCs w:val="24"/>
          <w:shd w:fill="auto" w:val="clear"/>
        </w:rPr>
        <w:t xml:space="preserve"> </w:t>
      </w:r>
      <w:r>
        <w:rPr>
          <w:rFonts w:ascii="Nimbus Sans L" w:hAnsi="Nimbus Sans L"/>
          <w:b/>
          <w:bCs/>
          <w:sz w:val="24"/>
          <w:szCs w:val="24"/>
          <w:shd w:fill="auto" w:val="clear"/>
        </w:rPr>
        <w:t>Marktöffnungsf</w:t>
      </w:r>
      <w:r>
        <w:rPr>
          <w:rFonts w:ascii="Nimbus Sans L" w:hAnsi="Nimbus Sans L"/>
          <w:b/>
          <w:bCs/>
          <w:sz w:val="24"/>
          <w:szCs w:val="24"/>
          <w:shd w:fill="auto" w:val="clear"/>
        </w:rPr>
        <w:t>o</w:t>
      </w:r>
      <w:r>
        <w:rPr>
          <w:rFonts w:ascii="Nimbus Sans L" w:hAnsi="Nimbus Sans L"/>
          <w:b/>
          <w:bCs/>
          <w:sz w:val="24"/>
          <w:szCs w:val="24"/>
          <w:shd w:fill="auto" w:val="clear"/>
        </w:rPr>
        <w:t>rderungen</w:t>
      </w:r>
      <w:r>
        <w:rPr>
          <w:rFonts w:ascii="Nimbus Sans L" w:hAnsi="Nimbus Sans L"/>
          <w:sz w:val="24"/>
          <w:szCs w:val="24"/>
          <w:shd w:fill="auto" w:val="clear"/>
        </w:rPr>
        <w:t xml:space="preserve">, die die EU-Seite stellt. </w:t>
      </w:r>
    </w:p>
    <w:p>
      <w:pPr>
        <w:pStyle w:val="Textkrper"/>
        <w:spacing w:before="0" w:after="0"/>
        <w:ind w:left="0" w:right="0" w:hanging="0"/>
        <w:rPr>
          <w:rFonts w:ascii="Nimbus Sans L" w:hAnsi="Nimbus Sans L"/>
          <w:shd w:fill="auto" w:val="clear"/>
        </w:rPr>
      </w:pPr>
      <w:r>
        <w:rPr>
          <w:rFonts w:ascii="Nimbus Sans L" w:hAnsi="Nimbus Sans L"/>
          <w:shd w:fill="auto" w:val="clear"/>
        </w:rPr>
        <w:t xml:space="preserve">(abrufbar unter: </w:t>
      </w:r>
      <w:r>
        <w:fldChar w:fldCharType="begin"/>
      </w:r>
      <w:r>
        <w:instrText> HYPERLINK "https://wikileaks.org/tisa/" \l "October 14, 2016 Publication"</w:instrText>
      </w:r>
      <w:r>
        <w:fldChar w:fldCharType="separate"/>
      </w:r>
      <w:r>
        <w:rPr>
          <w:rStyle w:val="Internetlink"/>
          <w:rFonts w:ascii="Nimbus Sans L" w:hAnsi="Nimbus Sans L"/>
          <w:shd w:fill="auto" w:val="clear"/>
        </w:rPr>
        <w:t>https://wikileaks.org/tisa/#October%2014,%202016%20Publication</w:t>
      </w:r>
      <w:r>
        <w:fldChar w:fldCharType="end"/>
      </w:r>
      <w:hyperlink r:id="rId3">
        <w:r>
          <w:rPr>
            <w:rFonts w:ascii="Nimbus Sans L" w:hAnsi="Nimbus Sans L"/>
            <w:shd w:fill="auto" w:val="clear"/>
          </w:rPr>
          <w:t xml:space="preserve"> </w:t>
        </w:r>
      </w:hyperlink>
    </w:p>
    <w:p>
      <w:pPr>
        <w:pStyle w:val="Textkrper"/>
        <w:spacing w:before="0" w:after="0"/>
        <w:ind w:left="0" w:right="0" w:hanging="0"/>
        <w:rPr>
          <w:rFonts w:ascii="Nimbus Sans L" w:hAnsi="Nimbus Sans L"/>
          <w:shd w:fill="auto" w:val="clear"/>
        </w:rPr>
      </w:pPr>
      <w:r>
        <w:rPr>
          <w:rFonts w:ascii="Nimbus Sans L" w:hAnsi="Nimbus Sans L"/>
          <w:shd w:fill="auto" w:val="clear"/>
        </w:rPr>
        <w:t>Hier ein Auszug aus einem Artikel von Deborah James vom 15.10.2016 (</w:t>
      </w:r>
      <w:hyperlink r:id="rId4">
        <w:r>
          <w:rPr>
            <w:rStyle w:val="Internetlink"/>
            <w:rFonts w:ascii="Nimbus Sans L" w:hAnsi="Nimbus Sans L"/>
            <w:shd w:fill="auto" w:val="clear"/>
          </w:rPr>
          <w:t>http://www.commondreams.org/views/2016/10/15/deadline-looms-wikileaks-reveals-corporate-demands-european-union-trade-services</w:t>
        </w:r>
      </w:hyperlink>
      <w:r>
        <w:rPr>
          <w:rFonts w:ascii="Nimbus Sans L" w:hAnsi="Nimbus Sans L"/>
          <w:shd w:fill="auto" w:val="clear"/>
        </w:rPr>
        <w:t xml:space="preserve"> </w:t>
      </w:r>
    </w:p>
    <w:p>
      <w:pPr>
        <w:pStyle w:val="Textkrper"/>
        <w:rPr>
          <w:rFonts w:ascii="Nimbus Sans L" w:hAnsi="Nimbus Sans L"/>
          <w:shd w:fill="auto" w:val="clear"/>
        </w:rPr>
      </w:pPr>
      <w:r>
        <w:rPr>
          <w:rFonts w:ascii="Nimbus Sans L" w:hAnsi="Nimbus Sans L"/>
          <w:shd w:fill="auto" w:val="clear"/>
        </w:rPr>
        <w:t xml:space="preserve">The leaked EU “requests” include asks that Costa Rica and Peru subject services offered at the subnational (local) level to the TISA liberalization rules. Unless </w:t>
      </w:r>
      <w:r>
        <w:rPr>
          <w:rFonts w:ascii="Nimbus Sans L" w:hAnsi="Nimbus Sans L"/>
          <w:shd w:fill="auto" w:val="clear"/>
        </w:rPr>
        <w:t xml:space="preserve">(wenn nicht) </w:t>
      </w:r>
      <w:r>
        <w:rPr>
          <w:rFonts w:ascii="Nimbus Sans L" w:hAnsi="Nimbus Sans L"/>
          <w:shd w:fill="auto" w:val="clear"/>
        </w:rPr>
        <w:t xml:space="preserve">the EU can demonstrate that all services offered in every municipality in these countries are already open to foreign suppliers, these are demands that would lock in </w:t>
      </w:r>
      <w:r>
        <w:rPr>
          <w:rFonts w:ascii="Nimbus Sans L" w:hAnsi="Nimbus Sans L"/>
          <w:shd w:fill="auto" w:val="clear"/>
        </w:rPr>
        <w:t xml:space="preserve">(einschleusen) </w:t>
      </w:r>
      <w:r>
        <w:rPr>
          <w:rFonts w:ascii="Nimbus Sans L" w:hAnsi="Nimbus Sans L"/>
          <w:shd w:fill="auto" w:val="clear"/>
        </w:rPr>
        <w:t>any privatization of public services at the local level and open those services to competition from foreign services providers ― which the EU has constantly claimed it is not asking for.</w:t>
      </w:r>
    </w:p>
    <w:p>
      <w:pPr>
        <w:pStyle w:val="Textkrper"/>
        <w:rPr>
          <w:rFonts w:ascii="Nimbus Sans L" w:hAnsi="Nimbus Sans L"/>
          <w:shd w:fill="auto" w:val="clear"/>
        </w:rPr>
      </w:pPr>
      <w:r>
        <w:rPr>
          <w:rFonts w:ascii="Nimbus Sans L" w:hAnsi="Nimbus Sans L"/>
          <w:shd w:fill="auto" w:val="clear"/>
        </w:rPr>
        <w:t>The EU’s demands also include access to postal services in Chile, Costa Rica, Mexico, Pakistan, Panama, Peru, and Turkey, and in several developed countries participating in the talks. Many countries maintain cross-subsidization programs that are an important part of enabling national communication from rural areas. If countries make commitments in this sector, then they would have to provide the same subsidies to foreign corporations as their own domestic firms, and would not be able to renationalize the sector if privatization was found to have adverse impacts.</w:t>
      </w:r>
    </w:p>
    <w:p>
      <w:pPr>
        <w:pStyle w:val="Textkrper"/>
        <w:rPr>
          <w:rFonts w:ascii="Nimbus Sans L" w:hAnsi="Nimbus Sans L"/>
          <w:shd w:fill="auto" w:val="clear"/>
        </w:rPr>
      </w:pPr>
      <w:r>
        <w:rPr>
          <w:rFonts w:ascii="Nimbus Sans L" w:hAnsi="Nimbus Sans L"/>
          <w:shd w:fill="auto" w:val="clear"/>
        </w:rPr>
        <w:t xml:space="preserve">The EU’s demands also include access to sanitation </w:t>
      </w:r>
      <w:r>
        <w:rPr>
          <w:rFonts w:ascii="Nimbus Sans L" w:hAnsi="Nimbus Sans L"/>
          <w:shd w:fill="auto" w:val="clear"/>
        </w:rPr>
        <w:t>(Gesundheitspflege)</w:t>
      </w:r>
      <w:r>
        <w:rPr>
          <w:rFonts w:ascii="Nimbus Sans L" w:hAnsi="Nimbus Sans L"/>
          <w:shd w:fill="auto" w:val="clear"/>
        </w:rPr>
        <w:t xml:space="preserve">, sewage </w:t>
      </w:r>
      <w:r>
        <w:rPr>
          <w:rFonts w:ascii="Nimbus Sans L" w:hAnsi="Nimbus Sans L"/>
          <w:shd w:fill="auto" w:val="clear"/>
        </w:rPr>
        <w:t>(Abwasserentsorgung)</w:t>
      </w:r>
      <w:r>
        <w:rPr>
          <w:rFonts w:ascii="Nimbus Sans L" w:hAnsi="Nimbus Sans L"/>
          <w:shd w:fill="auto" w:val="clear"/>
        </w:rPr>
        <w:t>, and other environmental services, which are often administered on a local level; telecommunications (including broadcasting); retail and distribution services; shipping; air and maritime transport; energy and mining services (which are extremely sensitive particularly in Latin America); and others. In addition, the EU is requesting more commitments on financial services in nearly every country.</w:t>
      </w:r>
    </w:p>
    <w:p>
      <w:pPr>
        <w:pStyle w:val="Textkrper"/>
        <w:rPr>
          <w:rFonts w:ascii="Nimbus Sans L" w:hAnsi="Nimbus Sans L"/>
          <w:shd w:fill="auto" w:val="clear"/>
        </w:rPr>
      </w:pPr>
      <w:r>
        <w:rPr>
          <w:rFonts w:ascii="Nimbus Sans L" w:hAnsi="Nimbus Sans L"/>
          <w:shd w:fill="auto" w:val="clear"/>
        </w:rPr>
        <w:t>Demands for further financial services to be included in the schedules is especially problematic given the rules in the updated version of the financial services annex, also published Friday.</w:t>
      </w:r>
    </w:p>
    <w:p>
      <w:pPr>
        <w:pStyle w:val="Textkrper"/>
        <w:spacing w:before="0" w:after="0"/>
        <w:ind w:left="0" w:right="0" w:hanging="0"/>
        <w:rPr>
          <w:rFonts w:ascii="Nimbus Sans L" w:hAnsi="Nimbus Sans L"/>
          <w:shd w:fill="auto" w:val="clear"/>
        </w:rPr>
      </w:pPr>
      <w:r>
        <w:rPr>
          <w:rFonts w:ascii="Nimbus Sans L" w:hAnsi="Nimbus Sans L"/>
          <w:shd w:fill="auto" w:val="clear"/>
        </w:rPr>
        <w:t xml:space="preserve">According to the analysis provided by University of Auckland law professor Jane Kelsey, under the proposed TISA rules, governments “could not restrict the size of financial institutions;” “no firewalls would be allowed between insurance, investment banking, [and] retail banking to prevent use of depositors’ funds for speculative market trades.” The banning of toxic financial services and products would not be allowed ― including products developed in the future; severe restrictions would be placed on the use of capital controls; financial firms would have the right to intervene in the policy-making processes of other parties’ legislatures, and in many areas, would be allowed to “self-regulate,” even when these firms have been shown unable to do so. </w:t>
      </w:r>
    </w:p>
    <w:p>
      <w:pPr>
        <w:pStyle w:val="Textkrper"/>
        <w:spacing w:before="0" w:after="0"/>
        <w:ind w:left="0" w:right="0" w:hanging="0"/>
        <w:rPr>
          <w:rFonts w:ascii="Nimbus Sans L" w:hAnsi="Nimbus Sans L"/>
          <w:shd w:fill="auto" w:val="clear"/>
        </w:rPr>
      </w:pPr>
      <w:r>
        <w:rPr>
          <w:rFonts w:ascii="Nimbus Sans L" w:hAnsi="Nimbus Sans L"/>
          <w:shd w:fill="auto" w:val="clear"/>
        </w:rPr>
        <w:t>[…]</w:t>
      </w:r>
    </w:p>
    <w:p>
      <w:pPr>
        <w:pStyle w:val="Textkrper"/>
        <w:rPr>
          <w:rFonts w:ascii="Nimbus Sans L" w:hAnsi="Nimbus Sans L"/>
          <w:shd w:fill="auto" w:val="clear"/>
        </w:rPr>
      </w:pPr>
      <w:r>
        <w:rPr>
          <w:rFonts w:ascii="Nimbus Sans L" w:hAnsi="Nimbus Sans L"/>
          <w:shd w:fill="auto" w:val="clear"/>
        </w:rPr>
        <w:t>Combining the demands of the EU with regard to public and private services including financial services, the deregulatory aspects of the financial services annex, and the localization provisions, Friday’s leak exposes the fundamentally antidevelopment nature of the TISA.</w:t>
      </w:r>
    </w:p>
    <w:p>
      <w:pPr>
        <w:pStyle w:val="Textkrper"/>
        <w:spacing w:before="0" w:after="0"/>
        <w:ind w:left="0" w:right="0" w:hanging="0"/>
        <w:rPr>
          <w:rFonts w:ascii="Nimbus Sans L" w:hAnsi="Nimbus Sans L"/>
          <w:shd w:fill="auto" w:val="clear"/>
        </w:rPr>
      </w:pPr>
      <w:r>
        <w:rPr>
          <w:rFonts w:ascii="Nimbus Sans L" w:hAnsi="Nimbus Sans L"/>
          <w:shd w:fill="auto" w:val="clear"/>
        </w:rPr>
        <w:t xml:space="preserve">The </w:t>
      </w:r>
      <w:hyperlink r:id="rId5">
        <w:r>
          <w:rPr>
            <w:rStyle w:val="Internetlink"/>
            <w:rFonts w:ascii="Nimbus Sans L" w:hAnsi="Nimbus Sans L"/>
            <w:shd w:fill="auto" w:val="clear"/>
          </w:rPr>
          <w:t>United Nations has just warned of another impending financial crisis</w:t>
        </w:r>
      </w:hyperlink>
      <w:r>
        <w:rPr>
          <w:rFonts w:ascii="Nimbus Sans L" w:hAnsi="Nimbus Sans L"/>
          <w:shd w:fill="auto" w:val="clear"/>
        </w:rPr>
        <w:t>. Yet if they agree to the extensive demands of the EU for further liberalization of services in the TISA, developing countries would be exposing themselves to greatly expanded financial spillover effects, coupled with handcuffs (Handfessel) on their ability to respond to a potential crisis by increasing access to public services</w:t>
      </w:r>
    </w:p>
    <w:p>
      <w:pPr>
        <w:pStyle w:val="Textkrper"/>
        <w:spacing w:before="180" w:after="180"/>
        <w:ind w:left="0" w:right="0" w:hanging="0"/>
        <w:rPr>
          <w:rFonts w:ascii="Nimbus Sans L" w:hAnsi="Nimbus Sans L"/>
          <w:sz w:val="24"/>
          <w:szCs w:val="24"/>
          <w:shd w:fill="auto" w:val="clear"/>
        </w:rPr>
      </w:pPr>
      <w:r>
        <w:rPr>
          <w:rFonts w:ascii="Nimbus Sans L" w:hAnsi="Nimbus Sans L"/>
          <w:sz w:val="24"/>
          <w:szCs w:val="24"/>
          <w:shd w:fill="auto" w:val="clear"/>
        </w:rPr>
        <w:t xml:space="preserve">- </w:t>
      </w:r>
      <w:r>
        <w:rPr>
          <w:rFonts w:ascii="Nimbus Sans L" w:hAnsi="Nimbus Sans L"/>
          <w:sz w:val="24"/>
          <w:szCs w:val="24"/>
          <w:shd w:fill="auto" w:val="clear"/>
        </w:rPr>
        <w:t>Auszug</w:t>
      </w:r>
      <w:r>
        <w:rPr>
          <w:rFonts w:ascii="Nimbus Sans L" w:hAnsi="Nimbus Sans L"/>
          <w:sz w:val="24"/>
          <w:szCs w:val="24"/>
          <w:shd w:fill="auto" w:val="clear"/>
        </w:rPr>
        <w:t xml:space="preserve"> Ende -</w:t>
      </w:r>
    </w:p>
    <w:p>
      <w:pPr>
        <w:pStyle w:val="Textkrper"/>
        <w:spacing w:before="0" w:after="0"/>
        <w:ind w:left="0" w:right="0" w:hanging="0"/>
        <w:rPr>
          <w:rFonts w:ascii="Nimbus Sans L" w:hAnsi="Nimbus Sans L"/>
          <w:sz w:val="24"/>
          <w:szCs w:val="24"/>
        </w:rPr>
      </w:pPr>
      <w:r>
        <w:rPr>
          <w:rFonts w:ascii="Nimbus Sans L" w:hAnsi="Nimbus Sans L"/>
          <w:sz w:val="24"/>
          <w:szCs w:val="24"/>
        </w:rPr>
        <w:t xml:space="preserve">Die Europäische Bürgerinitiative EBI zu den Freihandelsabkommen sollte ursprünglich auch das TISA einbeziehen und hätte die Aufmerksamkeit auch darauf gelenkt. TISA wurde aus der Kampagne ausgenommen wegen von der EU-Kommission vorgegebener rigider Zeichenbegrenzungen bei der Registrierung. </w:t>
      </w:r>
      <w:r>
        <w:rPr>
          <w:rFonts w:ascii="Nimbus Sans L" w:hAnsi="Nimbus Sans L"/>
          <w:sz w:val="24"/>
          <w:szCs w:val="24"/>
        </w:rPr>
        <w:t>Die offiziellen Vorgaben lauten</w:t>
      </w:r>
      <w:r>
        <w:rPr>
          <w:rFonts w:ascii="Nimbus Sans L" w:hAnsi="Nimbus Sans L"/>
          <w:sz w:val="24"/>
          <w:szCs w:val="24"/>
        </w:rPr>
        <w:t>:</w:t>
      </w:r>
    </w:p>
    <w:p>
      <w:pPr>
        <w:pStyle w:val="Textkrper"/>
        <w:spacing w:before="0" w:after="0"/>
        <w:ind w:left="0" w:right="0" w:hanging="0"/>
        <w:rPr>
          <w:rFonts w:ascii="Nimbus Sans L" w:hAnsi="Nimbus Sans L"/>
          <w:sz w:val="24"/>
          <w:szCs w:val="24"/>
        </w:rPr>
      </w:pPr>
      <w:hyperlink r:id="rId6">
        <w:r>
          <w:rPr>
            <w:rStyle w:val="Internetlink"/>
            <w:rFonts w:ascii="Nimbus Sans L" w:hAnsi="Nimbus Sans L"/>
            <w:sz w:val="24"/>
            <w:szCs w:val="24"/>
          </w:rPr>
          <w:t>http://ec.europa.eu/citizens-initiative/public/how-it-works/registration</w:t>
        </w:r>
      </w:hyperlink>
      <w:r>
        <w:rPr>
          <w:rFonts w:ascii="Nimbus Sans L" w:hAnsi="Nimbus Sans L"/>
          <w:sz w:val="24"/>
          <w:szCs w:val="24"/>
        </w:rPr>
        <w:t xml:space="preserve"> </w:t>
      </w:r>
    </w:p>
    <w:p>
      <w:pPr>
        <w:pStyle w:val="Textkrper"/>
        <w:spacing w:lineRule="auto" w:line="288" w:before="0" w:after="0"/>
        <w:ind w:left="0" w:right="0" w:hanging="0"/>
        <w:rPr>
          <w:rFonts w:ascii="Nimbus Sans L" w:hAnsi="Nimbus Sans L"/>
          <w:sz w:val="24"/>
          <w:szCs w:val="24"/>
        </w:rPr>
      </w:pPr>
      <w:bookmarkStart w:id="0" w:name="title-flowchart"/>
      <w:bookmarkEnd w:id="0"/>
      <w:r>
        <w:rPr>
          <w:rFonts w:ascii="Nimbus Sans L" w:hAnsi="Nimbus Sans L"/>
          <w:sz w:val="24"/>
          <w:szCs w:val="24"/>
        </w:rPr>
        <w:t xml:space="preserve">Registrierung der geplanten Initiative auf diesem Internetportal </w:t>
      </w:r>
    </w:p>
    <w:p>
      <w:pPr>
        <w:pStyle w:val="Textkrper"/>
        <w:spacing w:lineRule="auto" w:line="288" w:before="0" w:after="0"/>
        <w:ind w:left="0" w:right="0" w:hanging="0"/>
        <w:rPr>
          <w:rFonts w:ascii="Nimbus Sans L" w:hAnsi="Nimbus Sans L"/>
          <w:sz w:val="24"/>
          <w:szCs w:val="24"/>
        </w:rPr>
      </w:pPr>
      <w:r>
        <w:rPr>
          <w:rFonts w:ascii="Nimbus Sans L" w:hAnsi="Nimbus Sans L"/>
          <w:sz w:val="24"/>
          <w:szCs w:val="24"/>
        </w:rPr>
        <w:t xml:space="preserve">Bevor die Organisatoren mit der Sammlung von Unterstützungsbekundungen bei den Bürgern beginnen können, müssen sie </w:t>
      </w:r>
      <w:r>
        <w:rPr>
          <w:rFonts w:ascii="Nimbus Sans L" w:hAnsi="Nimbus Sans L"/>
          <w:b/>
          <w:sz w:val="24"/>
          <w:szCs w:val="24"/>
        </w:rPr>
        <w:t>die Registrierung</w:t>
      </w:r>
      <w:r>
        <w:rPr>
          <w:rFonts w:ascii="Nimbus Sans L" w:hAnsi="Nimbus Sans L"/>
          <w:sz w:val="24"/>
          <w:szCs w:val="24"/>
        </w:rPr>
        <w:t xml:space="preserve"> ihrer geplanten Initiative auf diesem Internetportal </w:t>
      </w:r>
      <w:r>
        <w:rPr>
          <w:rFonts w:ascii="Nimbus Sans L" w:hAnsi="Nimbus Sans L"/>
          <w:b/>
          <w:sz w:val="24"/>
          <w:szCs w:val="24"/>
        </w:rPr>
        <w:t>beantragen</w:t>
      </w:r>
      <w:r>
        <w:rPr>
          <w:rFonts w:ascii="Nimbus Sans L" w:hAnsi="Nimbus Sans L"/>
          <w:sz w:val="24"/>
          <w:szCs w:val="24"/>
        </w:rPr>
        <w:t xml:space="preserve">. </w:t>
      </w:r>
    </w:p>
    <w:p>
      <w:pPr>
        <w:pStyle w:val="Textkrper"/>
        <w:spacing w:lineRule="auto" w:line="288" w:before="0" w:after="0"/>
        <w:ind w:left="0" w:right="0" w:hanging="0"/>
        <w:rPr>
          <w:rFonts w:ascii="Nimbus Sans L" w:hAnsi="Nimbus Sans L"/>
          <w:sz w:val="24"/>
          <w:szCs w:val="24"/>
        </w:rPr>
      </w:pPr>
      <w:r>
        <w:rPr>
          <w:rFonts w:ascii="Nimbus Sans L" w:hAnsi="Nimbus Sans L"/>
          <w:sz w:val="24"/>
          <w:szCs w:val="24"/>
        </w:rPr>
        <w:t xml:space="preserve">Dazu müssen sie </w:t>
      </w:r>
      <w:r>
        <w:rPr>
          <w:rFonts w:ascii="Nimbus Sans L" w:hAnsi="Nimbus Sans L"/>
          <w:b/>
          <w:sz w:val="24"/>
          <w:szCs w:val="24"/>
        </w:rPr>
        <w:t xml:space="preserve">folgende Angaben in einer der </w:t>
      </w:r>
      <w:hyperlink r:id="rId7">
        <w:r>
          <w:rPr>
            <w:rStyle w:val="Internetlink"/>
            <w:rFonts w:ascii="Nimbus Sans L" w:hAnsi="Nimbus Sans L"/>
            <w:b/>
            <w:color w:val="0000FF"/>
            <w:sz w:val="24"/>
            <w:szCs w:val="24"/>
            <w:u w:val="single"/>
          </w:rPr>
          <w:t>EU-Amtssprachen</w:t>
        </w:r>
      </w:hyperlink>
      <w:r>
        <w:rPr>
          <w:rFonts w:ascii="Nimbus Sans L" w:hAnsi="Nimbus Sans L"/>
          <w:sz w:val="24"/>
          <w:szCs w:val="24"/>
        </w:rPr>
        <w:t xml:space="preserve"> </w:t>
      </w:r>
      <w:r>
        <w:rPr>
          <w:rFonts w:ascii="Nimbus Sans L" w:hAnsi="Nimbus Sans L"/>
          <w:b/>
          <w:sz w:val="24"/>
          <w:szCs w:val="24"/>
        </w:rPr>
        <w:t>machen</w:t>
      </w:r>
      <w:r>
        <w:rPr>
          <w:rFonts w:ascii="Nimbus Sans L" w:hAnsi="Nimbus Sans L"/>
          <w:sz w:val="24"/>
          <w:szCs w:val="24"/>
        </w:rPr>
        <w:t xml:space="preserve">: </w:t>
      </w:r>
    </w:p>
    <w:p>
      <w:pPr>
        <w:pStyle w:val="Textkrper"/>
        <w:spacing w:lineRule="auto" w:line="288" w:before="0" w:after="0"/>
        <w:ind w:left="0" w:right="0" w:hanging="0"/>
        <w:rPr>
          <w:rFonts w:ascii="Nimbus Sans L" w:hAnsi="Nimbus Sans L"/>
          <w:sz w:val="24"/>
          <w:szCs w:val="24"/>
        </w:rPr>
      </w:pPr>
      <w:r>
        <w:rPr>
          <w:rFonts w:ascii="Nimbus Sans L" w:hAnsi="Nimbus Sans L"/>
          <w:sz w:val="24"/>
          <w:szCs w:val="24"/>
        </w:rPr>
        <w:t>Bezeichnung der geplanten Bürgerinitiative (höchstens 100 Zeichen) (ca 1 Zeile, E.S.)</w:t>
      </w:r>
    </w:p>
    <w:p>
      <w:pPr>
        <w:pStyle w:val="Textkrper"/>
        <w:spacing w:lineRule="auto" w:line="288" w:before="0" w:after="0"/>
        <w:ind w:left="0" w:right="0" w:hanging="0"/>
        <w:rPr>
          <w:rFonts w:ascii="Nimbus Sans L" w:hAnsi="Nimbus Sans L"/>
          <w:sz w:val="24"/>
          <w:szCs w:val="24"/>
        </w:rPr>
      </w:pPr>
      <w:r>
        <w:rPr>
          <w:rFonts w:ascii="Nimbus Sans L" w:hAnsi="Nimbus Sans L"/>
          <w:sz w:val="24"/>
          <w:szCs w:val="24"/>
        </w:rPr>
        <w:t xml:space="preserve">Gegenstand (höchstens 200 Zeichen) </w:t>
      </w:r>
    </w:p>
    <w:p>
      <w:pPr>
        <w:pStyle w:val="Textkrper"/>
        <w:spacing w:lineRule="auto" w:line="288" w:before="0" w:after="0"/>
        <w:ind w:left="0" w:right="0" w:hanging="0"/>
        <w:rPr>
          <w:rFonts w:ascii="Nimbus Sans L" w:hAnsi="Nimbus Sans L"/>
          <w:sz w:val="24"/>
          <w:szCs w:val="24"/>
        </w:rPr>
      </w:pPr>
      <w:r>
        <w:rPr>
          <w:rFonts w:ascii="Nimbus Sans L" w:hAnsi="Nimbus Sans L"/>
          <w:sz w:val="24"/>
          <w:szCs w:val="24"/>
        </w:rPr>
        <w:t>Beschreibung der Ziele der geplanten Bürgerinitiative, in deren Zusammenhang die Kommission zum Tätigwerden aufgefordert wird (höchstens 500 Zeichen) …</w:t>
      </w:r>
    </w:p>
    <w:p>
      <w:pPr>
        <w:pStyle w:val="Textkrper"/>
        <w:spacing w:lineRule="auto" w:line="288" w:before="0" w:after="0"/>
        <w:ind w:left="0" w:right="0" w:hanging="0"/>
        <w:rPr>
          <w:rFonts w:ascii="Nimbus Sans L" w:hAnsi="Nimbus Sans L"/>
          <w:sz w:val="24"/>
          <w:szCs w:val="24"/>
        </w:rPr>
      </w:pPr>
      <w:r>
        <w:rPr>
          <w:rFonts w:ascii="Nimbus Sans L" w:hAnsi="Nimbus Sans L"/>
          <w:sz w:val="24"/>
          <w:szCs w:val="24"/>
        </w:rPr>
        <w:t xml:space="preserve">- </w:t>
      </w:r>
      <w:r>
        <w:rPr>
          <w:rFonts w:ascii="Nimbus Sans L" w:hAnsi="Nimbus Sans L"/>
          <w:sz w:val="24"/>
          <w:szCs w:val="24"/>
        </w:rPr>
        <w:t>Zitat Ende -</w:t>
      </w:r>
    </w:p>
    <w:p>
      <w:pPr>
        <w:pStyle w:val="Textkrper"/>
        <w:spacing w:lineRule="auto" w:line="288" w:before="0" w:after="0"/>
        <w:ind w:left="0" w:right="0" w:hanging="0"/>
        <w:rPr/>
      </w:pPr>
      <w:r>
        <w:rPr/>
      </w:r>
    </w:p>
    <w:p>
      <w:pPr>
        <w:pStyle w:val="Textkrper"/>
        <w:rPr>
          <w:rFonts w:ascii="Nimbus Sans L" w:hAnsi="Nimbus Sans L"/>
          <w:sz w:val="24"/>
          <w:szCs w:val="24"/>
        </w:rPr>
      </w:pPr>
      <w:r>
        <w:rPr>
          <w:rFonts w:ascii="Nimbus Sans L" w:hAnsi="Nimbus Sans L"/>
          <w:sz w:val="24"/>
          <w:szCs w:val="24"/>
        </w:rPr>
        <w:t>E</w:t>
      </w:r>
      <w:r>
        <w:rPr>
          <w:rFonts w:ascii="Nimbus Sans L" w:hAnsi="Nimbus Sans L"/>
          <w:sz w:val="24"/>
          <w:szCs w:val="24"/>
        </w:rPr>
        <w:t>in breites Bündnis internationaler Gewerkschaftsverbände hat die Aussetzung der TISA-Verhandlungen gefordert. (</w:t>
      </w:r>
      <w:hyperlink r:id="rId8">
        <w:r>
          <w:rPr>
            <w:rStyle w:val="Internetlink"/>
            <w:rFonts w:ascii="Nimbus Sans L" w:hAnsi="Nimbus Sans L"/>
            <w:sz w:val="24"/>
            <w:szCs w:val="24"/>
          </w:rPr>
          <w:t>https://download.ei-ie.org/Docs/WebDepot/FINAL_TiSA_Press_Statement.pdf</w:t>
        </w:r>
      </w:hyperlink>
      <w:r>
        <w:rPr>
          <w:rFonts w:ascii="Nimbus Sans L" w:hAnsi="Nimbus Sans L"/>
          <w:sz w:val="24"/>
          <w:szCs w:val="24"/>
        </w:rPr>
        <w:t xml:space="preserve"> </w:t>
      </w:r>
    </w:p>
    <w:p>
      <w:pPr>
        <w:pStyle w:val="Textkrper"/>
        <w:spacing w:before="180" w:after="180"/>
        <w:ind w:left="0" w:right="0" w:hanging="0"/>
        <w:rPr/>
      </w:pPr>
      <w:r>
        <w:rPr/>
      </w:r>
    </w:p>
    <w:sectPr>
      <w:type w:val="nextPage"/>
      <w:pgSz w:w="11906" w:h="16838"/>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Nimbus Sans L">
    <w:altName w:val="Arial"/>
    <w:charset w:val="01"/>
    <w:family w:val="swiss"/>
    <w:pitch w:val="variable"/>
  </w:font>
  <w:font w:name="Nimbus Sans L">
    <w:altName w:val="Arial"/>
    <w:charset w:val="01"/>
    <w:family w:val="roman"/>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de-DE" w:eastAsia="zh-CN" w:bidi="hi-IN"/>
      </w:rPr>
    </w:rPrDefault>
    <w:pPrDefault>
      <w:pPr/>
    </w:pPrDefault>
  </w:docDefaults>
  <w:style w:type="paragraph" w:styleId="Normal">
    <w:name w:val="Normal"/>
    <w:pPr>
      <w:widowControl w:val="false"/>
      <w:suppressAutoHyphens w:val="true"/>
      <w:bidi w:val="0"/>
      <w:jc w:val="left"/>
    </w:pPr>
    <w:rPr>
      <w:rFonts w:ascii="Liberation Serif" w:hAnsi="Liberation Serif" w:eastAsia="Droid Sans Fallback" w:cs="FreeSans"/>
      <w:color w:val="00000A"/>
      <w:sz w:val="24"/>
      <w:szCs w:val="24"/>
      <w:lang w:val="de-DE" w:eastAsia="zh-CN" w:bidi="hi-IN"/>
    </w:rPr>
  </w:style>
  <w:style w:type="character" w:styleId="Internetlink">
    <w:name w:val="Internetlink"/>
    <w:rPr>
      <w:color w:val="000080"/>
      <w:u w:val="single"/>
      <w:lang w:val="zxx" w:eastAsia="zxx" w:bidi="zxx"/>
    </w:rPr>
  </w:style>
  <w:style w:type="character" w:styleId="Aufzhlungszeichen">
    <w:name w:val="Aufzählungszeichen"/>
    <w:rPr>
      <w:rFonts w:ascii="OpenSymbol" w:hAnsi="OpenSymbol" w:eastAsia="OpenSymbol" w:cs="OpenSymbol"/>
    </w:rPr>
  </w:style>
  <w:style w:type="character" w:styleId="ListLabel1">
    <w:name w:val="ListLabel 1"/>
    <w:rPr>
      <w:rFonts w:cs="Symbol"/>
    </w:rPr>
  </w:style>
  <w:style w:type="character" w:styleId="ListLabel2">
    <w:name w:val="ListLabel 2"/>
    <w:rPr>
      <w:rFonts w:cs="Symbol"/>
    </w:rPr>
  </w:style>
  <w:style w:type="character" w:styleId="ListLabel3">
    <w:name w:val="ListLabel 3"/>
    <w:rPr>
      <w:rFonts w:cs="Symbol"/>
    </w:rPr>
  </w:style>
  <w:style w:type="paragraph" w:styleId="Berschrift">
    <w:name w:val="Überschrift"/>
    <w:basedOn w:val="Normal"/>
    <w:next w:val="Textkrper"/>
    <w:pPr>
      <w:keepNext/>
      <w:spacing w:before="240" w:after="120"/>
    </w:pPr>
    <w:rPr>
      <w:rFonts w:ascii="Liberation Sans" w:hAnsi="Liberation Sans" w:eastAsia="Droid Sans Fallback" w:cs="FreeSans"/>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FreeSans"/>
    </w:rPr>
  </w:style>
  <w:style w:type="paragraph" w:styleId="Beschriftung">
    <w:name w:val="Beschriftung"/>
    <w:basedOn w:val="Normal"/>
    <w:pPr>
      <w:suppressLineNumbers/>
      <w:spacing w:before="120" w:after="120"/>
    </w:pPr>
    <w:rPr>
      <w:rFonts w:cs="FreeSans"/>
      <w:i/>
      <w:iCs/>
      <w:sz w:val="24"/>
      <w:szCs w:val="24"/>
    </w:rPr>
  </w:style>
  <w:style w:type="paragraph" w:styleId="Verzeichnis">
    <w:name w:val="Verzeichnis"/>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eutsch.rt.com/24696/wirtschaft/analyse-des-von-wikileaks-veroeffentlichten-kerntext-des-tisa-abkommens/" TargetMode="External"/><Relationship Id="rId3" Type="http://schemas.openxmlformats.org/officeDocument/2006/relationships/hyperlink" Target="" TargetMode="External"/><Relationship Id="rId4" Type="http://schemas.openxmlformats.org/officeDocument/2006/relationships/hyperlink" Target="http://www.commondreams.org/views/2016/10/15/deadline-looms-wikileaks-reveals-corporate-demands-european-union-trade-services" TargetMode="External"/><Relationship Id="rId5" Type="http://schemas.openxmlformats.org/officeDocument/2006/relationships/hyperlink" Target="http://www.telegraph.co.uk/business/2016/09/21/un-fears-third-leg-of-the-global-financial-crisis-with-epic-debt/" TargetMode="External"/><Relationship Id="rId6" Type="http://schemas.openxmlformats.org/officeDocument/2006/relationships/hyperlink" Target="http://ec.europa.eu/citizens-initiative/public/how-it-works/registration" TargetMode="External"/><Relationship Id="rId7" Type="http://schemas.openxmlformats.org/officeDocument/2006/relationships/hyperlink" Target="http://ec.europa.eu/education/languages/languages-of-europe/doc135_de.htm" TargetMode="External"/><Relationship Id="rId8" Type="http://schemas.openxmlformats.org/officeDocument/2006/relationships/hyperlink" Target="https://download.ei-ie.org/Docs/WebDepot/FINAL_TiSA_Press_Statement.pdf" TargetMode="External"/><Relationship Id="rId9" Type="http://schemas.openxmlformats.org/officeDocument/2006/relationships/fontTable" Target="fontTable.xml"/><Relationship Id="rId1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Application>LibreOffice/4.2.8.2$Linux_X86_64 LibreOffice_project/420m0$Build-2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2016-09-21T15:53:17Z</dcterms:created>
  <dc:language>de-DE</dc:language>
  <cp:revision>0</cp:revision>
</cp:coreProperties>
</file>