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rFonts w:ascii="Nimbus Sans L" w:hAnsi="Nimbus Sans L"/>
          <w:b/>
          <w:bCs/>
          <w:sz w:val="28"/>
          <w:szCs w:val="28"/>
        </w:rPr>
      </w:pPr>
      <w:r>
        <w:rPr>
          <w:rFonts w:ascii="Nimbus Sans L" w:hAnsi="Nimbus Sans L"/>
          <w:b/>
          <w:bCs/>
          <w:sz w:val="28"/>
          <w:szCs w:val="28"/>
        </w:rPr>
        <w:t xml:space="preserve">UNSC Resolution 2254 </w:t>
      </w:r>
      <w:r>
        <w:rPr>
          <w:rFonts w:ascii="Nimbus Sans L" w:hAnsi="Nimbus Sans L"/>
          <w:b/>
          <w:bCs/>
          <w:sz w:val="28"/>
          <w:szCs w:val="28"/>
        </w:rPr>
        <w:t xml:space="preserve">vom </w:t>
      </w:r>
      <w:r>
        <w:rPr>
          <w:rFonts w:ascii="Nimbus Sans L" w:hAnsi="Nimbus Sans L"/>
          <w:b/>
          <w:bCs/>
          <w:sz w:val="28"/>
          <w:szCs w:val="28"/>
        </w:rPr>
        <w:t xml:space="preserve">18.12.2015 </w:t>
      </w:r>
    </w:p>
    <w:p>
      <w:pPr>
        <w:pStyle w:val="Normal"/>
        <w:rPr>
          <w:rFonts w:ascii="Nimbus Sans L" w:hAnsi="Nimbus Sans L"/>
        </w:rPr>
      </w:pPr>
      <w:r>
        <w:rPr>
          <w:rFonts w:ascii="Nimbus Sans L" w:hAnsi="Nimbus Sans L"/>
        </w:rPr>
      </w:r>
    </w:p>
    <w:p>
      <w:pPr>
        <w:pStyle w:val="Normal"/>
        <w:rPr>
          <w:rFonts w:ascii="Nimbus Sans L" w:hAnsi="Nimbus Sans L"/>
          <w:b/>
          <w:bCs/>
        </w:rPr>
      </w:pPr>
      <w:r>
        <w:rPr>
          <w:rFonts w:ascii="Nimbus Sans L" w:hAnsi="Nimbus Sans L"/>
          <w:b/>
          <w:bCs/>
        </w:rPr>
        <w:t>Z</w:t>
      </w:r>
      <w:r>
        <w:rPr>
          <w:rFonts w:ascii="Nimbus Sans L" w:hAnsi="Nimbus Sans L"/>
          <w:b/>
          <w:bCs/>
        </w:rPr>
        <w:t>usammenfassung z</w:t>
      </w:r>
      <w:r>
        <w:rPr>
          <w:rFonts w:ascii="Nimbus Sans L" w:hAnsi="Nimbus Sans L"/>
          <w:b/>
          <w:bCs/>
        </w:rPr>
        <w:t>entrale</w:t>
      </w:r>
      <w:r>
        <w:rPr>
          <w:rFonts w:ascii="Nimbus Sans L" w:hAnsi="Nimbus Sans L"/>
          <w:b/>
          <w:bCs/>
        </w:rPr>
        <w:t>r</w:t>
      </w:r>
      <w:r>
        <w:rPr>
          <w:rFonts w:ascii="Nimbus Sans L" w:hAnsi="Nimbus Sans L"/>
          <w:b/>
          <w:bCs/>
        </w:rPr>
        <w:t xml:space="preserve"> Aussagen, Zitate aus dem englischen Dokument, Erläuterungen und Kommentare kursiv von Elke Schenk:</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Strenge Bindung an die UNO-Charta:</w:t>
      </w:r>
    </w:p>
    <w:p>
      <w:pPr>
        <w:pStyle w:val="SingleTxt"/>
        <w:ind w:left="709" w:right="0" w:hanging="0"/>
        <w:rPr>
          <w:rFonts w:ascii="Nimbus Sans L" w:hAnsi="Nimbus Sans L"/>
        </w:rPr>
      </w:pPr>
      <w:r>
        <w:rPr>
          <w:rFonts w:ascii="Nimbus Sans L" w:hAnsi="Nimbus Sans L"/>
        </w:rPr>
        <w:t>strong commitment to the sovereignty, independence, unity and territorial integrity of the Syrian Arab Republic, and to the purposes and principles of the Charter of the United Nations,</w:t>
      </w:r>
    </w:p>
    <w:p>
      <w:pPr>
        <w:pStyle w:val="Normal"/>
        <w:rPr>
          <w:rFonts w:ascii="Nimbus Sans L" w:hAnsi="Nimbus Sans L"/>
        </w:rPr>
      </w:pPr>
      <w:r>
        <w:rPr>
          <w:rFonts w:ascii="Nimbus Sans L" w:hAnsi="Nimbus Sans L"/>
        </w:rPr>
        <w:t xml:space="preserve">Pflicht aller Beteiligten zum Schutz der Zivilbevölkerung; zu diesem Zweck sind alle angemessenen Schritte zu unternehmen; die Hauptverantwortung für den Schutz der Bevölkerung liegt bei den syrischen Behörden: </w:t>
      </w:r>
    </w:p>
    <w:p>
      <w:pPr>
        <w:pStyle w:val="Normal"/>
        <w:ind w:left="709" w:right="0" w:hanging="0"/>
        <w:rPr>
          <w:rFonts w:ascii="Nimbus Sans L" w:hAnsi="Nimbus Sans L"/>
        </w:rPr>
      </w:pPr>
      <w:r>
        <w:rPr>
          <w:rFonts w:ascii="Nimbus Sans L" w:hAnsi="Nimbus Sans L"/>
        </w:rPr>
        <w:t xml:space="preserve">that all parties take all appropriate steps to protect civilians, including members of ethnic, religious and confessional communities, and </w:t>
      </w:r>
      <w:r>
        <w:rPr>
          <w:rFonts w:ascii="Nimbus Sans L" w:hAnsi="Nimbus Sans L"/>
          <w:i/>
        </w:rPr>
        <w:t>stresses</w:t>
      </w:r>
      <w:r>
        <w:rPr>
          <w:rFonts w:ascii="Nimbus Sans L" w:hAnsi="Nimbus Sans L"/>
        </w:rPr>
        <w:t xml:space="preserve"> that, in this regard, the primary responsibility to protect its population lies with the Syrian authorities,</w:t>
      </w:r>
    </w:p>
    <w:p>
      <w:pPr>
        <w:pStyle w:val="Normal"/>
        <w:rPr>
          <w:rFonts w:ascii="Nimbus Sans L" w:hAnsi="Nimbus Sans L"/>
        </w:rPr>
      </w:pPr>
      <w:r>
        <w:rPr>
          <w:rFonts w:ascii="Nimbus Sans L" w:hAnsi="Nimbus Sans L"/>
        </w:rPr>
      </w:r>
    </w:p>
    <w:p>
      <w:pPr>
        <w:pStyle w:val="Normal"/>
        <w:rPr>
          <w:rFonts w:ascii="Nimbus Sans L" w:hAnsi="Nimbus Sans L"/>
          <w:i/>
          <w:iCs/>
        </w:rPr>
      </w:pPr>
      <w:r>
        <w:rPr>
          <w:rFonts w:ascii="Nimbus Sans L" w:hAnsi="Nimbus Sans L"/>
          <w:i/>
          <w:iCs/>
        </w:rPr>
        <w:t xml:space="preserve">Diese Passage ist zweischneidig und kann eventuell missbraucht werden: Einerseits ist die Frage, wer sind „all parties“ - auch die vorgeblichen Kämpfer gegen IS wie USA, Türkei, Saudi-Arabien mit seiner sunnitischen Koalition, die ohne völkerrechtliche Legitimation in Syrien intervenieren? Andererseits wird mit der Betonung der Verantwortung des syrischen Staates dessen Legitimität anerkannt. Allerdings sind solche Formulierungen in der Vergangenheit als trojanisches Pferd für R2P-Forderungen missbraucht worden. R2P (Responsibility to Protect) steht für ein Konzept, das seit Anfang der 2000er Jahre die strengen Vorgaben der UNO-Charta für eine Intervention von außen untergräbt. Der Grundsatz der unantastbaren Souveränität und territorialen Integrität eines Staates wird aufgeweicht, indem Souveränität als Verantwortung umdefiniert und eingegrenzt wird. Es wird behauptet, wenn ein Staat seiner Pflicht zum Schutz der Bevölkerung vor Terror </w:t>
      </w:r>
      <w:r>
        <w:rPr>
          <w:rFonts w:ascii="Nimbus Sans L" w:hAnsi="Nimbus Sans L"/>
          <w:i/>
          <w:iCs/>
        </w:rPr>
        <w:t>oder</w:t>
      </w:r>
      <w:r>
        <w:rPr>
          <w:rFonts w:ascii="Nimbus Sans L" w:hAnsi="Nimbus Sans L"/>
          <w:i/>
          <w:iCs/>
        </w:rPr>
        <w:t xml:space="preserve"> Menschenrechtsverletzungen usw nicht nachkommen wolle oder könne, „die Weltgemeinschaft“ aufgerufen sei aus humanitären Gründen zu handeln. Das R2P-Konzept hat (noch) keinen Eingang in die UNO-Charta gefunden, aber 2005 in die UN-Resolution 1</w:t>
      </w:r>
      <w:r>
        <w:rPr>
          <w:rFonts w:ascii="Nimbus Sans L" w:hAnsi="Nimbus Sans L"/>
          <w:i/>
          <w:iCs/>
          <w:lang w:val="de-DE"/>
        </w:rPr>
        <w:t>674</w:t>
      </w:r>
      <w:r>
        <w:rPr>
          <w:rFonts w:ascii="Nimbus Sans L" w:hAnsi="Nimbus Sans L"/>
          <w:i/>
          <w:iCs/>
        </w:rPr>
        <w:t>. Es wird aber v. a. als Vorwand benutzt, um sog. humanitäre Interventionen des Westens in Länder zu begründen, deren (Wirtschafts)Politik den eigenen wirtschaftlichen oder geopolitischen Interessen zuwiderläuft .</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 xml:space="preserve">Unter Bezugnahme auf die Wiener Gespräche im Oktober und November 2015 soll ein inner-syrischer politischer Prozess gestartet werden mit dem Ziel einer inklusiven Übergangsregierung, die den legitimen Anliegen des syrischen Volkes entspricht, die die vollen Regierungsrechte innehat und auf einvernehmlichem Konsens beruht, wobei die Kontinuität der bestehenden Regierungsinstitutionen sichergestellt werden soll. Es wird mehrfach betont, dass dieser Übergangsprozess aus Syrien heraus gestaltet werden soll. </w:t>
      </w:r>
    </w:p>
    <w:p>
      <w:pPr>
        <w:pStyle w:val="SingleTxt"/>
        <w:ind w:left="709" w:right="0" w:hanging="0"/>
        <w:rPr>
          <w:rFonts w:ascii="Nimbus Sans L" w:hAnsi="Nimbus Sans L"/>
        </w:rPr>
      </w:pPr>
      <w:r>
        <w:rPr>
          <w:rFonts w:ascii="Nimbus Sans L" w:hAnsi="Nimbus Sans L"/>
        </w:rPr>
        <w:t xml:space="preserve">that the only sustainable solution to the current crisis in Syria is through an inclusive and Syrian-led political process that meets the legitimate aspirations of the Syrian people, [...] including through the establishment of an inclusive transitional governing body with full executive powers, which shall be formed on the basis of mutual consent while ensuring continuity of governmental institutions, </w:t>
      </w:r>
    </w:p>
    <w:p>
      <w:pPr>
        <w:pStyle w:val="SingleTxt"/>
        <w:ind w:left="709" w:right="0" w:hanging="0"/>
        <w:rPr>
          <w:rFonts w:ascii="Nimbus Sans L" w:hAnsi="Nimbus Sans L"/>
        </w:rPr>
      </w:pPr>
      <w:r>
        <w:rPr>
          <w:rFonts w:ascii="Nimbus Sans L" w:hAnsi="Nimbus Sans L"/>
        </w:rPr>
        <w:t>[…]</w:t>
      </w:r>
    </w:p>
    <w:p>
      <w:pPr>
        <w:pStyle w:val="SingleTxt"/>
        <w:ind w:left="709" w:right="0" w:hanging="0"/>
        <w:rPr>
          <w:rFonts w:ascii="Nimbus Sans L" w:hAnsi="Nimbus Sans L"/>
        </w:rPr>
      </w:pPr>
      <w:r>
        <w:rPr>
          <w:rFonts w:ascii="Nimbus Sans L" w:hAnsi="Nimbus Sans L"/>
        </w:rPr>
        <w:t>to ensure a Syrian-led and Syrian-owned political transition</w:t>
      </w:r>
    </w:p>
    <w:p>
      <w:pPr>
        <w:pStyle w:val="Normal"/>
        <w:rPr>
          <w:rFonts w:ascii="Nimbus Sans L" w:hAnsi="Nimbus Sans L"/>
          <w:i/>
          <w:iCs/>
        </w:rPr>
      </w:pPr>
      <w:r>
        <w:rPr>
          <w:rFonts w:ascii="Nimbus Sans L" w:hAnsi="Nimbus Sans L"/>
          <w:i/>
          <w:iCs/>
        </w:rPr>
        <w:t xml:space="preserve">Hier ist wichtig die Betonung, dass dieser Übergangsprozess aus Syrien selbst heraus geschieht – d. h. nicht von außen gesteuert wird -, dass die existierenden Institutionen nicht zerschlagen werden, sondern erhalten bleiben, dass es um die legitimen Forderungen der Bevölkerung geht. Diese Passage deckt sich wesentlich mit Forderungen der inner-syrischen, zivilen Opposition, die die Bedeutung der Stabilität und Integrität des Landes – und Assad als Garant dessen - anerkennt und den gewaltsamen militärischen Umsturz (von innen oder außen) entschieden ablehnt. Die größte und am besten organisierte Oppositionsgruppe, die den gewaltsamen Umsturz verfolgt, die Muslim-Brüderschaft, hat laut Tim Anderson in der Bevölkerung maximal einen Rückhalt von 15 %, das aber nur in Phasen, in denen sie keine Anschläge verübt. Sektiererische Gewalt gegen das Regime wird von der überwältigenden Mehrheit der syrischen </w:t>
      </w:r>
      <w:r>
        <w:rPr>
          <w:rFonts w:ascii="Nimbus Sans L" w:hAnsi="Nimbus Sans L"/>
          <w:i/>
          <w:iCs/>
        </w:rPr>
        <w:t>B</w:t>
      </w:r>
      <w:r>
        <w:rPr>
          <w:rFonts w:ascii="Nimbus Sans L" w:hAnsi="Nimbus Sans L"/>
          <w:i/>
          <w:iCs/>
        </w:rPr>
        <w:t>evölkerung abgelehnt. (Vgl. Anderson, America's Dirty War on Syria: Bashar al Assad and Political Reform. Globalresearch, 4.12.2015)</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 xml:space="preserve">Als Prämissen des Übergangsprozesses werden definiert: Syriens Einheit, Unabhängigkeit und territoriale Integrität zu erhalten, keine sektiererischen Ambitionen zuzulassen und die Rechte aller religiösen und ethnischen Minderheiten anzuerkennen: </w:t>
      </w:r>
    </w:p>
    <w:p>
      <w:pPr>
        <w:pStyle w:val="SingleTxt"/>
        <w:ind w:left="709" w:right="0" w:hanging="0"/>
        <w:rPr>
          <w:rFonts w:ascii="Nimbus Sans L" w:hAnsi="Nimbus Sans L"/>
        </w:rPr>
      </w:pPr>
      <w:r>
        <w:rPr>
          <w:rFonts w:ascii="Nimbus Sans L" w:hAnsi="Nimbus Sans L"/>
          <w:i/>
        </w:rPr>
        <w:t>Urging</w:t>
      </w:r>
      <w:r>
        <w:rPr>
          <w:rFonts w:ascii="Nimbus Sans L" w:hAnsi="Nimbus Sans L"/>
        </w:rPr>
        <w:t xml:space="preserve"> all parties to the UN-facilitated political process to adhere to the principles identified by the ISSG, including commitments to Syria’s unity, independence, territorial integrity, and non-sectarian character, to ensuring continuity of governmental institutions, to protecting the rights of all Syrians, regardless of ethnicity or religious denomination, and to ensuring humanitarian access throughout the country, </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 xml:space="preserve">Vertreter der syrischen Regierung und der Opposition, die ihre Verhandler selbst bestimmen sollen, sollen ab Anfang Januar in formale Verhandlungen zu einem Übergangsprozess einsteigen: </w:t>
      </w:r>
    </w:p>
    <w:p>
      <w:pPr>
        <w:pStyle w:val="SingleTxt"/>
        <w:ind w:left="709" w:right="0" w:hanging="0"/>
        <w:rPr>
          <w:rFonts w:ascii="Nimbus Sans L" w:hAnsi="Nimbus Sans L"/>
        </w:rPr>
      </w:pPr>
      <w:r>
        <w:rPr>
          <w:rFonts w:ascii="Nimbus Sans L" w:hAnsi="Nimbus Sans L"/>
          <w:i/>
        </w:rPr>
        <w:t>Requests</w:t>
      </w:r>
      <w:r>
        <w:rPr>
          <w:rFonts w:ascii="Nimbus Sans L" w:hAnsi="Nimbus Sans L"/>
        </w:rPr>
        <w:t xml:space="preserve"> the Secretary-General, through his good offices and the efforts of his Special Envoy for Syria, to convene representatives of the Syrian government and the opposition to engage in formal negotiations on a political transition process on an urgent basis, with a target of early January 2016 for the initiation of talks </w:t>
      </w:r>
    </w:p>
    <w:p>
      <w:pPr>
        <w:pStyle w:val="Normal"/>
        <w:rPr>
          <w:rFonts w:ascii="Nimbus Sans L" w:hAnsi="Nimbus Sans L"/>
        </w:rPr>
      </w:pPr>
      <w:r>
        <w:rPr>
          <w:rFonts w:ascii="Nimbus Sans L" w:hAnsi="Nimbus Sans L"/>
        </w:rPr>
      </w:r>
    </w:p>
    <w:p>
      <w:pPr>
        <w:pStyle w:val="Normal"/>
        <w:rPr>
          <w:rFonts w:ascii="Nimbus Sans L" w:hAnsi="Nimbus Sans L"/>
        </w:rPr>
      </w:pPr>
      <w:r>
        <w:rPr>
          <w:rFonts w:ascii="Nimbus Sans L" w:hAnsi="Nimbus Sans L"/>
        </w:rPr>
        <w:t>In Folge dieses Prozesses soll innerhalb von 6 Monaten eine glaubwürdige, inklusive und nicht sektiererische Regierung gebildet werden und ein Zeitplan für die Ausarbeitung einer neuen Verfassung aufgestellt werden. Der Sicherheitsrat drückt seine Unterstützung für freie und faire Wahlen entsprechend der neuen Verfassung und unter UN-Aufsicht aus, abzuhalten innerhalb von 18 Monaten:</w:t>
      </w:r>
    </w:p>
    <w:p>
      <w:pPr>
        <w:pStyle w:val="SingleTxt"/>
        <w:ind w:left="709" w:right="0" w:hanging="0"/>
        <w:rPr>
          <w:rFonts w:ascii="Nimbus Sans L" w:hAnsi="Nimbus Sans L"/>
        </w:rPr>
      </w:pPr>
      <w:r>
        <w:rPr>
          <w:rFonts w:ascii="Nimbus Sans L" w:hAnsi="Nimbus Sans L"/>
        </w:rPr>
        <w:t xml:space="preserve">(The Security Council) Expresses its support […] for a Syrien-led political process that […] within a target of six months, establishes credible, inclusive and non-sectarian governance and sets a schedule and process for drafting a new constitution, and </w:t>
      </w:r>
      <w:r>
        <w:rPr>
          <w:rFonts w:ascii="Nimbus Sans L" w:hAnsi="Nimbus Sans L"/>
          <w:i/>
        </w:rPr>
        <w:t>further expresses its support</w:t>
      </w:r>
      <w:r>
        <w:rPr>
          <w:rFonts w:ascii="Nimbus Sans L" w:hAnsi="Nimbus Sans L"/>
        </w:rPr>
        <w:t xml:space="preserve"> for free and fair elections, pursuant to the new constitution, to be held within 18 months and administered under supervision of the United Nations</w:t>
      </w:r>
    </w:p>
    <w:p>
      <w:pPr>
        <w:pStyle w:val="Normal"/>
        <w:ind w:left="0" w:right="0" w:hanging="0"/>
        <w:rPr>
          <w:rFonts w:ascii="Nimbus Sans L" w:hAnsi="Nimbus Sans L"/>
          <w:i/>
          <w:iCs/>
        </w:rPr>
      </w:pPr>
      <w:r>
        <w:rPr>
          <w:rFonts w:ascii="Nimbus Sans L" w:hAnsi="Nimbus Sans L"/>
          <w:i/>
          <w:iCs/>
        </w:rPr>
        <w:t>Die Zeitschiene zur Bildung einer Übergangsregierung ist ambitioniert. Unklar erscheint mir, worauf sich die 18 Monate beziehen – innerhalb von 18 Monaten ab dem jetzigen Zeitpunkt soll auf der Grundlage der neuen Verfassung gewählt werden oder innerhalb von 18 Monaten nach Ausarbeitung der neuen Verfassung?</w:t>
      </w:r>
    </w:p>
    <w:p>
      <w:pPr>
        <w:pStyle w:val="Normal"/>
        <w:ind w:left="0" w:right="0" w:hanging="0"/>
        <w:rPr>
          <w:rFonts w:ascii="Nimbus Sans L" w:hAnsi="Nimbus Sans L"/>
        </w:rPr>
      </w:pPr>
      <w:r>
        <w:rPr>
          <w:rFonts w:ascii="Nimbus Sans L" w:hAnsi="Nimbus Sans L"/>
        </w:rPr>
      </w:r>
    </w:p>
    <w:p>
      <w:pPr>
        <w:pStyle w:val="Normal"/>
        <w:ind w:left="0" w:right="0" w:hanging="0"/>
        <w:rPr>
          <w:rFonts w:ascii="Nimbus Sans L" w:hAnsi="Nimbus Sans L"/>
        </w:rPr>
      </w:pPr>
      <w:r>
        <w:rPr>
          <w:rFonts w:ascii="Nimbus Sans L" w:hAnsi="Nimbus Sans L"/>
        </w:rPr>
        <w:t>Sobald der politische Verhandlungsprozess zwischen Regierung und Opposition begonnen hat, soll ein Waffenstillstand eintreten, dessen Modalitäten durch UN-Organisationen festgelegt werden sollen. Die Mitglieder der International Syria Support Group (ISSG) (</w:t>
      </w:r>
      <w:r>
        <w:rPr>
          <w:rFonts w:ascii="Nimbus Sans L" w:hAnsi="Nimbus Sans L"/>
        </w:rPr>
        <w:t>Arab League, China, Egypt, the EU, France, Germany, Iran, Iraq, Italy, Jordan, Lebanon, Oman, Qatar, Russia, Saudi Arabia, Turkey, United Arab Emirates, the United Kingdom, the United Nations, and the United States</w:t>
      </w:r>
      <w:r>
        <w:rPr>
          <w:rFonts w:ascii="Nimbus Sans L" w:hAnsi="Nimbus Sans L"/>
        </w:rPr>
        <w:t>)</w:t>
      </w:r>
      <w:r>
        <w:rPr/>
        <w:t xml:space="preserve"> </w:t>
      </w:r>
      <w:r>
        <w:rPr>
          <w:rFonts w:ascii="Nimbus Sans L" w:hAnsi="Nimbus Sans L"/>
        </w:rPr>
        <w:t xml:space="preserve">sollen auf alle relevanten Gruppierungen Druck ausüben zur Einhaltung des Waffenstillstands. Darüber hinaus soll die Einhaltung des Waffenstillstands überprüft werden; dazu soll ein Mechanismus ausgearbeitet werden. </w:t>
      </w:r>
    </w:p>
    <w:p>
      <w:pPr>
        <w:pStyle w:val="SingleTxt"/>
        <w:ind w:left="709" w:right="0" w:hanging="0"/>
        <w:rPr>
          <w:rFonts w:ascii="Nimbus Sans L" w:hAnsi="Nimbus Sans L"/>
        </w:rPr>
      </w:pPr>
      <w:r>
        <w:rPr>
          <w:rFonts w:ascii="Nimbus Sans L" w:hAnsi="Nimbus Sans L"/>
        </w:rPr>
        <w:t>a nationwide ceasefire in Syria, [...] to come into effect as soon as the representatives of the Syrian government and the opposition have begun initial steps towards a political transition under UN auspices</w:t>
      </w:r>
    </w:p>
    <w:p>
      <w:pPr>
        <w:pStyle w:val="Normal"/>
        <w:ind w:left="0" w:right="0" w:hanging="0"/>
        <w:rPr>
          <w:rFonts w:ascii="Nimbus Sans L" w:hAnsi="Nimbus Sans L"/>
        </w:rPr>
      </w:pPr>
      <w:r>
        <w:rPr>
          <w:rFonts w:ascii="Nimbus Sans L" w:hAnsi="Nimbus Sans L"/>
        </w:rPr>
      </w:r>
    </w:p>
    <w:p>
      <w:pPr>
        <w:pStyle w:val="Normal"/>
        <w:ind w:left="0" w:right="0" w:hanging="0"/>
        <w:rPr>
          <w:rFonts w:ascii="Nimbus Sans L" w:hAnsi="Nimbus Sans L"/>
        </w:rPr>
      </w:pPr>
      <w:bookmarkStart w:id="0" w:name="__DdeLink__11590_600610957"/>
      <w:r>
        <w:rPr>
          <w:rFonts w:ascii="Nimbus Sans L" w:hAnsi="Nimbus Sans L"/>
        </w:rPr>
        <w:t>Die Resolution fordert alle Mitgliedstaaten auf, Terrorakte zu verhindern oder zu bekämpfen, die vom IS oder der Al-Nusra-Front oder anderen mit Al-Qaida oder IS verbundenen Gruppen oder anderen Terrorgruppen verübt werden. Es wird festgehalten, dass der Waffenstillstand sich nicht auf offensive oder defensive Aktionen gegen Terrorgruppen bezieht:</w:t>
      </w:r>
    </w:p>
    <w:p>
      <w:pPr>
        <w:pStyle w:val="SingleTxt"/>
        <w:ind w:left="709" w:right="0" w:hanging="0"/>
        <w:rPr>
          <w:rFonts w:ascii="Nimbus Sans L" w:hAnsi="Nimbus Sans L"/>
        </w:rPr>
      </w:pPr>
      <w:r>
        <w:rPr>
          <w:rFonts w:ascii="Nimbus Sans L" w:hAnsi="Nimbus Sans L"/>
          <w:i/>
        </w:rPr>
        <w:t>Reiterates</w:t>
      </w:r>
      <w:r>
        <w:rPr>
          <w:rFonts w:ascii="Nimbus Sans L" w:hAnsi="Nimbus Sans L"/>
        </w:rPr>
        <w:t xml:space="preserve"> its call in resolution 2249 (2015) for Member States to prevent and suppress terrorist acts committed specifically by Islamic State in Iraq and the Levant (ISIL, also known as Da’esh), Al-Nusra Front (ANF), and all other individuals, groups, undertakings, and entities associated with Al Qaeda or ISIL, and other terrorist groups, </w:t>
      </w:r>
      <w:r>
        <w:rPr>
          <w:rFonts w:ascii="Nimbus Sans L" w:hAnsi="Nimbus Sans L"/>
        </w:rPr>
        <w:t>[...]</w:t>
      </w:r>
      <w:r>
        <w:rPr>
          <w:rFonts w:ascii="Nimbus Sans L" w:hAnsi="Nimbus Sans L"/>
        </w:rPr>
        <w:t xml:space="preserve"> and to eradicate the safe haven they have established over significant parts of Syria, and </w:t>
      </w:r>
      <w:r>
        <w:rPr>
          <w:rFonts w:ascii="Nimbus Sans L" w:hAnsi="Nimbus Sans L"/>
          <w:i/>
        </w:rPr>
        <w:t>notes</w:t>
      </w:r>
      <w:bookmarkEnd w:id="0"/>
      <w:r>
        <w:rPr>
          <w:rFonts w:ascii="Nimbus Sans L" w:hAnsi="Nimbus Sans L"/>
        </w:rPr>
        <w:t xml:space="preserve"> that the aforementioned ceasefire will not apply to offensive or defensive actions against these individuals, groups, undertakings and entities, as set forth in the 14 November 2015 ISSG Statement; </w:t>
      </w:r>
    </w:p>
    <w:p>
      <w:pPr>
        <w:pStyle w:val="Normal"/>
        <w:ind w:left="0" w:right="0" w:hanging="0"/>
        <w:rPr>
          <w:rFonts w:ascii="Nimbus Sans L" w:hAnsi="Nimbus Sans L"/>
          <w:i/>
          <w:iCs/>
        </w:rPr>
      </w:pPr>
      <w:r>
        <w:rPr>
          <w:rFonts w:ascii="Nimbus Sans L" w:hAnsi="Nimbus Sans L"/>
          <w:i/>
          <w:iCs/>
        </w:rPr>
        <w:t>Diese Passage ist entscheidend, dass nicht diejenigen, die tatsächlich die Terrorgruppen bekämpfen, sich an den Waffenstillstand halten müssen, während die bewaffneten Banden weiterhin Tod und Terror verbreiten können. Für mich bleibt die Frage, wer durch den Waffenstillstand gebunden wird? IS, Al-Nusra, Muslim-Brüder usw. interessiert das eh nicht, und alle anderen militärisch-agierenden Staaten und Gruppen behaupten, den islamistischen Terror zu bekämpfen.</w:t>
      </w:r>
    </w:p>
    <w:p>
      <w:pPr>
        <w:pStyle w:val="Normal"/>
        <w:ind w:left="0" w:right="0" w:hanging="0"/>
        <w:rPr>
          <w:rFonts w:ascii="Nimbus Sans L" w:hAnsi="Nimbus Sans L"/>
        </w:rPr>
      </w:pPr>
      <w:r>
        <w:rPr>
          <w:rFonts w:ascii="Nimbus Sans L" w:hAnsi="Nimbus Sans L"/>
        </w:rPr>
      </w:r>
    </w:p>
    <w:p>
      <w:pPr>
        <w:pStyle w:val="Normal"/>
        <w:ind w:left="0" w:right="0" w:hanging="0"/>
        <w:rPr>
          <w:rFonts w:ascii="Nimbus Sans L" w:hAnsi="Nimbus Sans L"/>
        </w:rPr>
      </w:pPr>
      <w:r>
        <w:rPr>
          <w:rFonts w:ascii="Nimbus Sans L" w:hAnsi="Nimbus Sans L"/>
        </w:rPr>
        <w:t xml:space="preserve">Sofortiger und sicherer Zugang für humanitäre Hilfsorganisationen </w:t>
      </w:r>
    </w:p>
    <w:p>
      <w:pPr>
        <w:pStyle w:val="Normal"/>
        <w:ind w:left="0" w:right="0" w:hanging="0"/>
        <w:rPr>
          <w:rFonts w:ascii="Nimbus Sans L" w:hAnsi="Nimbus Sans L"/>
        </w:rPr>
      </w:pPr>
      <w:r>
        <w:rPr>
          <w:rFonts w:ascii="Nimbus Sans L" w:hAnsi="Nimbus Sans L"/>
        </w:rPr>
      </w:r>
    </w:p>
    <w:p>
      <w:pPr>
        <w:pStyle w:val="Normal"/>
        <w:ind w:left="0" w:right="0" w:hanging="0"/>
        <w:rPr>
          <w:rFonts w:ascii="Nimbus Sans L" w:hAnsi="Nimbus Sans L"/>
        </w:rPr>
      </w:pPr>
      <w:r>
        <w:rPr>
          <w:rFonts w:ascii="Nimbus Sans L" w:hAnsi="Nimbus Sans L"/>
        </w:rPr>
        <w:t xml:space="preserve">Alle involvierten Parteien werden aufgefordert, Angriffe auf Zivilisten und zivile Einrichtungen zu unterlassen sowie jeden wahllosen / willkürlichen Einsatz von Waffen, inklusive Beschuss und Luftschläge. </w:t>
      </w:r>
    </w:p>
    <w:p>
      <w:pPr>
        <w:pStyle w:val="Normal"/>
        <w:ind w:left="0" w:right="0" w:hanging="0"/>
        <w:rPr>
          <w:rFonts w:ascii="Nimbus Sans L" w:hAnsi="Nimbus Sans L"/>
        </w:rPr>
      </w:pPr>
      <w:r>
        <w:rPr>
          <w:rFonts w:ascii="Nimbus Sans L" w:hAnsi="Nimbus Sans L"/>
        </w:rPr>
      </w:r>
    </w:p>
    <w:p>
      <w:pPr>
        <w:pStyle w:val="Normal"/>
        <w:ind w:left="0" w:right="0" w:hanging="0"/>
        <w:rPr>
          <w:rFonts w:ascii="Nimbus Sans L" w:hAnsi="Nimbus Sans L"/>
        </w:rPr>
      </w:pPr>
      <w:r>
        <w:rPr>
          <w:rFonts w:ascii="Nimbus Sans L" w:hAnsi="Nimbus Sans L"/>
        </w:rPr>
        <w:t xml:space="preserve">Es sollen Bedingungen geschaffen werden, damit Flüchtlinge und Binnenvertriebene wieder in ihre Heimatregionen zurückkehren können und Syrien wiederaufgebaut werden kann. </w:t>
      </w:r>
    </w:p>
    <w:p>
      <w:pPr>
        <w:pStyle w:val="Normal"/>
        <w:ind w:left="0" w:right="0" w:hanging="0"/>
        <w:rPr>
          <w:rFonts w:ascii="Nimbus Sans L" w:hAnsi="Nimbus Sans L"/>
        </w:rPr>
      </w:pPr>
      <w:r>
        <w:rPr>
          <w:rFonts w:ascii="Nimbus Sans L" w:hAnsi="Nimbus Sans L"/>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Nimbus Sans L">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 w:type="paragraph" w:styleId="SingleTxt">
    <w:name w:val="__Single Txt"/>
    <w:basedOn w:val="Normal"/>
    <w:pPr>
      <w:tabs>
        <w:tab w:val="left" w:pos="1267" w:leader="none"/>
        <w:tab w:val="left" w:pos="1742" w:leader="none"/>
        <w:tab w:val="left" w:pos="2218" w:leader="none"/>
        <w:tab w:val="left" w:pos="2693" w:leader="none"/>
        <w:tab w:val="left" w:pos="3182" w:leader="none"/>
        <w:tab w:val="left" w:pos="3658" w:leader="none"/>
        <w:tab w:val="left" w:pos="4133" w:leader="none"/>
        <w:tab w:val="left" w:pos="4622" w:leader="none"/>
        <w:tab w:val="left" w:pos="5098" w:leader="none"/>
        <w:tab w:val="left" w:pos="5573" w:leader="none"/>
        <w:tab w:val="left" w:pos="6048" w:leader="none"/>
      </w:tabs>
      <w:spacing w:before="0" w:after="120"/>
      <w:ind w:left="1267" w:right="1267" w:hanging="0"/>
      <w:jc w:val="both"/>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2015-12-23T11:28:29Z</dcterms:created>
  <dc:language>de-DE</dc:language>
  <cp:revision>0</cp:revision>
</cp:coreProperties>
</file>